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8AC" w:rsidRPr="008150FC" w:rsidRDefault="001678AC">
      <w:pPr>
        <w:pStyle w:val="BodyText"/>
        <w:spacing w:before="3"/>
        <w:rPr>
          <w:rFonts w:ascii="Book Antiqua" w:hAnsi="Book Antiqua"/>
          <w:sz w:val="20"/>
          <w:szCs w:val="20"/>
        </w:rPr>
      </w:pPr>
    </w:p>
    <w:p w:rsidR="001678AC" w:rsidRPr="008150FC" w:rsidRDefault="001678AC">
      <w:pPr>
        <w:pStyle w:val="BodyText"/>
        <w:ind w:left="3424"/>
        <w:rPr>
          <w:rFonts w:ascii="Book Antiqua" w:hAnsi="Book Antiqua"/>
          <w:sz w:val="20"/>
          <w:szCs w:val="20"/>
        </w:rPr>
      </w:pPr>
    </w:p>
    <w:p w:rsidR="006F31AC" w:rsidRPr="008150FC" w:rsidRDefault="006F31AC">
      <w:pPr>
        <w:rPr>
          <w:rFonts w:ascii="Book Antiqua" w:hAnsi="Book Antiqua"/>
          <w:b/>
          <w:sz w:val="20"/>
          <w:szCs w:val="20"/>
        </w:rPr>
      </w:pPr>
    </w:p>
    <w:p w:rsidR="006F31AC" w:rsidRPr="008150FC" w:rsidRDefault="006F31AC" w:rsidP="006F31AC">
      <w:pPr>
        <w:rPr>
          <w:rFonts w:ascii="Book Antiqua" w:hAnsi="Book Antiqua"/>
          <w:sz w:val="20"/>
          <w:szCs w:val="20"/>
        </w:rPr>
      </w:pPr>
    </w:p>
    <w:p w:rsidR="006F31AC" w:rsidRPr="008150FC" w:rsidRDefault="006F31AC" w:rsidP="006F31AC">
      <w:pPr>
        <w:rPr>
          <w:rFonts w:ascii="Book Antiqua" w:hAnsi="Book Antiqua"/>
          <w:sz w:val="20"/>
          <w:szCs w:val="20"/>
        </w:rPr>
      </w:pPr>
    </w:p>
    <w:p w:rsidR="006F31AC" w:rsidRPr="008150FC" w:rsidRDefault="006F31AC" w:rsidP="006F31AC">
      <w:pPr>
        <w:rPr>
          <w:rFonts w:ascii="Book Antiqua" w:hAnsi="Book Antiqua"/>
          <w:sz w:val="20"/>
          <w:szCs w:val="20"/>
        </w:rPr>
      </w:pPr>
    </w:p>
    <w:p w:rsidR="006F31AC" w:rsidRPr="008150FC" w:rsidRDefault="006F31AC" w:rsidP="006F31AC">
      <w:pPr>
        <w:rPr>
          <w:rFonts w:ascii="Book Antiqua" w:hAnsi="Book Antiqua"/>
          <w:sz w:val="20"/>
          <w:szCs w:val="20"/>
        </w:rPr>
      </w:pPr>
    </w:p>
    <w:p w:rsidR="006F31AC" w:rsidRPr="008150FC" w:rsidRDefault="006F31AC" w:rsidP="006F31AC">
      <w:pPr>
        <w:rPr>
          <w:rFonts w:ascii="Book Antiqua" w:hAnsi="Book Antiqua"/>
          <w:sz w:val="20"/>
          <w:szCs w:val="20"/>
        </w:rPr>
      </w:pPr>
    </w:p>
    <w:p w:rsidR="006F31AC" w:rsidRPr="008150FC" w:rsidRDefault="006F31AC" w:rsidP="006F31AC">
      <w:pPr>
        <w:rPr>
          <w:rFonts w:ascii="Book Antiqua" w:hAnsi="Book Antiqua"/>
          <w:sz w:val="20"/>
          <w:szCs w:val="20"/>
        </w:rPr>
      </w:pPr>
    </w:p>
    <w:p w:rsidR="006F31AC" w:rsidRPr="008150FC" w:rsidRDefault="006F31AC" w:rsidP="006F31AC">
      <w:pPr>
        <w:rPr>
          <w:rFonts w:ascii="Book Antiqua" w:hAnsi="Book Antiqua"/>
          <w:sz w:val="20"/>
          <w:szCs w:val="20"/>
        </w:rPr>
      </w:pPr>
    </w:p>
    <w:p w:rsidR="006F31AC" w:rsidRPr="008150FC" w:rsidRDefault="006F31AC" w:rsidP="006F31AC">
      <w:pPr>
        <w:rPr>
          <w:rFonts w:ascii="Book Antiqua" w:hAnsi="Book Antiqua"/>
          <w:sz w:val="20"/>
          <w:szCs w:val="20"/>
        </w:rPr>
      </w:pPr>
    </w:p>
    <w:p w:rsidR="006F31AC" w:rsidRPr="008150FC" w:rsidRDefault="006F31AC" w:rsidP="006F31AC">
      <w:pPr>
        <w:rPr>
          <w:rFonts w:ascii="Book Antiqua" w:hAnsi="Book Antiqua"/>
          <w:sz w:val="20"/>
          <w:szCs w:val="20"/>
        </w:rPr>
      </w:pPr>
    </w:p>
    <w:p w:rsidR="006F31AC" w:rsidRPr="008150FC" w:rsidRDefault="006F31AC" w:rsidP="006F31AC">
      <w:pPr>
        <w:rPr>
          <w:rFonts w:ascii="Book Antiqua" w:hAnsi="Book Antiqua"/>
          <w:sz w:val="20"/>
          <w:szCs w:val="20"/>
        </w:rPr>
      </w:pPr>
    </w:p>
    <w:p w:rsidR="006F31AC" w:rsidRPr="008150FC" w:rsidRDefault="006F31AC">
      <w:pPr>
        <w:rPr>
          <w:rFonts w:ascii="Book Antiqua" w:hAnsi="Book Antiqua"/>
          <w:sz w:val="20"/>
          <w:szCs w:val="20"/>
        </w:rPr>
      </w:pPr>
    </w:p>
    <w:p w:rsidR="006F31AC" w:rsidRPr="008150FC" w:rsidRDefault="006F31AC">
      <w:pPr>
        <w:rPr>
          <w:rFonts w:ascii="Book Antiqua" w:hAnsi="Book Antiqua"/>
          <w:sz w:val="20"/>
          <w:szCs w:val="20"/>
        </w:rPr>
      </w:pPr>
    </w:p>
    <w:p w:rsidR="006F31AC" w:rsidRPr="008150FC" w:rsidRDefault="006F31AC" w:rsidP="006F31AC">
      <w:pPr>
        <w:tabs>
          <w:tab w:val="left" w:pos="4007"/>
        </w:tabs>
        <w:jc w:val="center"/>
        <w:rPr>
          <w:rFonts w:ascii="Book Antiqua" w:hAnsi="Book Antiqua"/>
          <w:sz w:val="20"/>
          <w:szCs w:val="20"/>
        </w:rPr>
      </w:pPr>
      <w:r w:rsidRPr="008150FC">
        <w:rPr>
          <w:rFonts w:ascii="Book Antiqua" w:hAnsi="Book Antiqua"/>
          <w:noProof/>
          <w:sz w:val="20"/>
          <w:szCs w:val="20"/>
          <w:lang w:val="en-IN" w:eastAsia="en-IN" w:bidi="ar-SA"/>
        </w:rPr>
        <w:drawing>
          <wp:inline distT="0" distB="0" distL="0" distR="0" wp14:anchorId="4532CFD5" wp14:editId="495BFBF7">
            <wp:extent cx="3353957" cy="33355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YUR LOGO.PNG"/>
                    <pic:cNvPicPr/>
                  </pic:nvPicPr>
                  <pic:blipFill>
                    <a:blip r:embed="rId8">
                      <a:extLst>
                        <a:ext uri="{28A0092B-C50C-407E-A947-70E740481C1C}">
                          <a14:useLocalDpi xmlns:a14="http://schemas.microsoft.com/office/drawing/2010/main" val="0"/>
                        </a:ext>
                      </a:extLst>
                    </a:blip>
                    <a:stretch>
                      <a:fillRect/>
                    </a:stretch>
                  </pic:blipFill>
                  <pic:spPr>
                    <a:xfrm>
                      <a:off x="0" y="0"/>
                      <a:ext cx="3353957" cy="3335529"/>
                    </a:xfrm>
                    <a:prstGeom prst="rect">
                      <a:avLst/>
                    </a:prstGeom>
                  </pic:spPr>
                </pic:pic>
              </a:graphicData>
            </a:graphic>
          </wp:inline>
        </w:drawing>
      </w:r>
    </w:p>
    <w:p w:rsidR="002508E5" w:rsidRPr="008150FC" w:rsidRDefault="002508E5" w:rsidP="006F31AC">
      <w:pPr>
        <w:jc w:val="center"/>
        <w:rPr>
          <w:rFonts w:ascii="Book Antiqua" w:hAnsi="Book Antiqua"/>
          <w:b/>
          <w:sz w:val="20"/>
          <w:szCs w:val="20"/>
          <w:u w:val="single"/>
        </w:rPr>
      </w:pPr>
    </w:p>
    <w:p w:rsidR="006F31AC" w:rsidRPr="008150FC" w:rsidRDefault="006F31AC" w:rsidP="006F31AC">
      <w:pPr>
        <w:jc w:val="center"/>
        <w:rPr>
          <w:rFonts w:ascii="Book Antiqua" w:hAnsi="Book Antiqua"/>
          <w:b/>
          <w:sz w:val="20"/>
          <w:szCs w:val="20"/>
          <w:u w:val="single"/>
        </w:rPr>
      </w:pPr>
      <w:r w:rsidRPr="008150FC">
        <w:rPr>
          <w:rFonts w:ascii="Book Antiqua" w:hAnsi="Book Antiqua"/>
          <w:b/>
          <w:sz w:val="20"/>
          <w:szCs w:val="20"/>
          <w:u w:val="single"/>
        </w:rPr>
        <w:t>MAYUR LEATHER PRODUCTS LIMITED</w:t>
      </w:r>
    </w:p>
    <w:p w:rsidR="006F31AC" w:rsidRPr="008150FC" w:rsidRDefault="006F31AC">
      <w:pPr>
        <w:rPr>
          <w:rFonts w:ascii="Book Antiqua" w:hAnsi="Book Antiqua"/>
          <w:b/>
          <w:sz w:val="20"/>
          <w:szCs w:val="20"/>
        </w:rPr>
      </w:pPr>
      <w:r w:rsidRPr="008150FC">
        <w:rPr>
          <w:rFonts w:ascii="Book Antiqua" w:hAnsi="Book Antiqua"/>
          <w:sz w:val="20"/>
          <w:szCs w:val="20"/>
        </w:rPr>
        <w:br w:type="page"/>
      </w:r>
      <w:r w:rsidRPr="008150FC">
        <w:rPr>
          <w:rFonts w:ascii="Book Antiqua" w:hAnsi="Book Antiqua"/>
          <w:b/>
          <w:sz w:val="20"/>
          <w:szCs w:val="20"/>
        </w:rPr>
        <w:lastRenderedPageBreak/>
        <w:t xml:space="preserve"> </w:t>
      </w:r>
    </w:p>
    <w:p w:rsidR="001678AC" w:rsidRPr="008150FC" w:rsidRDefault="001678AC">
      <w:pPr>
        <w:pStyle w:val="BodyText"/>
        <w:spacing w:before="1"/>
        <w:rPr>
          <w:rFonts w:ascii="Book Antiqua" w:hAnsi="Book Antiqua"/>
          <w:b/>
          <w:sz w:val="20"/>
          <w:szCs w:val="20"/>
        </w:rPr>
      </w:pPr>
    </w:p>
    <w:p w:rsidR="001678AC" w:rsidRPr="008150FC" w:rsidRDefault="003B71D5">
      <w:pPr>
        <w:pStyle w:val="Heading1"/>
        <w:ind w:left="1578" w:right="1928" w:firstLine="0"/>
        <w:jc w:val="center"/>
        <w:rPr>
          <w:rFonts w:ascii="Book Antiqua" w:hAnsi="Book Antiqua"/>
          <w:sz w:val="20"/>
          <w:szCs w:val="20"/>
          <w:u w:val="single"/>
        </w:rPr>
      </w:pPr>
      <w:r w:rsidRPr="008150FC">
        <w:rPr>
          <w:rFonts w:ascii="Book Antiqua" w:hAnsi="Book Antiqua"/>
          <w:bCs w:val="0"/>
          <w:sz w:val="20"/>
          <w:szCs w:val="20"/>
          <w:u w:val="single"/>
        </w:rPr>
        <w:t>POLICY FOR DETERMINING MATERIAL SUBSIDIARY</w:t>
      </w:r>
    </w:p>
    <w:p w:rsidR="001678AC" w:rsidRPr="008150FC" w:rsidRDefault="001678AC">
      <w:pPr>
        <w:pStyle w:val="BodyText"/>
        <w:spacing w:before="4"/>
        <w:rPr>
          <w:rFonts w:ascii="Book Antiqua" w:hAnsi="Book Antiqua"/>
          <w:b/>
          <w:sz w:val="20"/>
          <w:szCs w:val="20"/>
        </w:rPr>
      </w:pPr>
    </w:p>
    <w:p w:rsidR="008150FC" w:rsidRPr="008150FC" w:rsidRDefault="008150FC" w:rsidP="008150FC">
      <w:pPr>
        <w:pStyle w:val="ListParagraph"/>
        <w:numPr>
          <w:ilvl w:val="0"/>
          <w:numId w:val="1"/>
        </w:numPr>
        <w:tabs>
          <w:tab w:val="left" w:pos="565"/>
        </w:tabs>
        <w:spacing w:before="94" w:line="261" w:lineRule="auto"/>
        <w:ind w:right="573"/>
        <w:rPr>
          <w:rFonts w:ascii="Book Antiqua" w:hAnsi="Book Antiqua"/>
          <w:sz w:val="20"/>
          <w:szCs w:val="20"/>
          <w:u w:val="single"/>
        </w:rPr>
      </w:pPr>
      <w:r w:rsidRPr="008150FC">
        <w:rPr>
          <w:rFonts w:ascii="Book Antiqua" w:hAnsi="Book Antiqua"/>
          <w:b/>
          <w:sz w:val="20"/>
          <w:szCs w:val="20"/>
          <w:u w:val="single"/>
        </w:rPr>
        <w:t xml:space="preserve">Legal Framework : </w:t>
      </w:r>
    </w:p>
    <w:p w:rsidR="001678AC" w:rsidRPr="008150FC" w:rsidRDefault="003B71D5" w:rsidP="008150FC">
      <w:pPr>
        <w:pStyle w:val="ListParagraph"/>
        <w:tabs>
          <w:tab w:val="left" w:pos="565"/>
        </w:tabs>
        <w:spacing w:before="94" w:line="261" w:lineRule="auto"/>
        <w:ind w:left="564" w:right="573" w:firstLine="0"/>
        <w:rPr>
          <w:rFonts w:ascii="Book Antiqua" w:hAnsi="Book Antiqua"/>
          <w:sz w:val="20"/>
          <w:szCs w:val="20"/>
        </w:rPr>
      </w:pPr>
      <w:r w:rsidRPr="008150FC">
        <w:rPr>
          <w:rFonts w:ascii="Book Antiqua" w:hAnsi="Book Antiqua"/>
          <w:sz w:val="20"/>
          <w:szCs w:val="20"/>
        </w:rPr>
        <w:t>In terms of regulation 16(1)(c) of the Securities and Exchange Board of India (Listing Obligations and Disclosure Requ</w:t>
      </w:r>
      <w:r w:rsidR="00497281" w:rsidRPr="008150FC">
        <w:rPr>
          <w:rFonts w:ascii="Book Antiqua" w:hAnsi="Book Antiqua"/>
          <w:sz w:val="20"/>
          <w:szCs w:val="20"/>
        </w:rPr>
        <w:t xml:space="preserve">irements), Regulations 2015, ( </w:t>
      </w:r>
      <w:r w:rsidRPr="008150FC">
        <w:rPr>
          <w:rFonts w:ascii="Book Antiqua" w:hAnsi="Book Antiqua"/>
          <w:sz w:val="20"/>
          <w:szCs w:val="20"/>
        </w:rPr>
        <w:t xml:space="preserve">“the  Listing Regulations”), the Board of Directors of </w:t>
      </w:r>
      <w:r w:rsidR="00DF4FDF" w:rsidRPr="008150FC">
        <w:rPr>
          <w:rFonts w:ascii="Book Antiqua" w:hAnsi="Book Antiqua"/>
          <w:b/>
          <w:sz w:val="20"/>
          <w:szCs w:val="20"/>
        </w:rPr>
        <w:t xml:space="preserve">Mayur Leather Products Limited </w:t>
      </w:r>
      <w:r w:rsidRPr="008150FC">
        <w:rPr>
          <w:rFonts w:ascii="Book Antiqua" w:hAnsi="Book Antiqua"/>
          <w:sz w:val="20"/>
          <w:szCs w:val="20"/>
        </w:rPr>
        <w:t>(“the Company”) has adopted this policy for determining Material  Subsidiaries.</w:t>
      </w:r>
    </w:p>
    <w:p w:rsidR="00DF4FDF" w:rsidRPr="008150FC" w:rsidRDefault="003B71D5">
      <w:pPr>
        <w:pStyle w:val="ListParagraph"/>
        <w:numPr>
          <w:ilvl w:val="0"/>
          <w:numId w:val="1"/>
        </w:numPr>
        <w:tabs>
          <w:tab w:val="left" w:pos="565"/>
        </w:tabs>
        <w:spacing w:before="145" w:line="261" w:lineRule="auto"/>
        <w:ind w:right="570"/>
        <w:rPr>
          <w:rFonts w:ascii="Book Antiqua" w:hAnsi="Book Antiqua"/>
          <w:sz w:val="20"/>
          <w:szCs w:val="20"/>
          <w:u w:val="single"/>
        </w:rPr>
      </w:pPr>
      <w:r w:rsidRPr="008150FC">
        <w:rPr>
          <w:rFonts w:ascii="Book Antiqua" w:hAnsi="Book Antiqua"/>
          <w:b/>
          <w:sz w:val="20"/>
          <w:szCs w:val="20"/>
          <w:u w:val="single"/>
        </w:rPr>
        <w:t xml:space="preserve">Objective: </w:t>
      </w:r>
    </w:p>
    <w:p w:rsidR="001678AC" w:rsidRPr="008150FC" w:rsidRDefault="00DF4FDF" w:rsidP="00DF4FDF">
      <w:pPr>
        <w:pStyle w:val="ListParagraph"/>
        <w:tabs>
          <w:tab w:val="left" w:pos="565"/>
        </w:tabs>
        <w:spacing w:before="145" w:line="261" w:lineRule="auto"/>
        <w:ind w:left="564" w:right="570" w:firstLine="0"/>
        <w:rPr>
          <w:rFonts w:ascii="Book Antiqua" w:hAnsi="Book Antiqua"/>
          <w:sz w:val="20"/>
          <w:szCs w:val="20"/>
        </w:rPr>
      </w:pPr>
      <w:r w:rsidRPr="008150FC">
        <w:rPr>
          <w:rFonts w:ascii="Book Antiqua" w:hAnsi="Book Antiqua"/>
          <w:sz w:val="20"/>
          <w:szCs w:val="20"/>
        </w:rPr>
        <w:t>This Policy lays down the criteria for determining and dealing with material subsidiary of Mayur Leather products Limited (hereinafter “the Company”) and disclosure thereof. The Policy also intends to ensure governance of Material Subsidiary Company by complying with directorship requirements, review of financial statements, bringing to the attention of the Board certain transactions/arrangements, rules regarding disinvestment of shares held by the Company and restrictions on selling/ disposing/ leasing of assets of such subsidiary by the Company wherever regulatory requirements arise.</w:t>
      </w:r>
      <w:r w:rsidR="003B71D5" w:rsidRPr="008150FC">
        <w:rPr>
          <w:rFonts w:ascii="Book Antiqua" w:hAnsi="Book Antiqua"/>
          <w:sz w:val="20"/>
          <w:szCs w:val="20"/>
        </w:rPr>
        <w:t>.</w:t>
      </w:r>
    </w:p>
    <w:p w:rsidR="001678AC" w:rsidRPr="008150FC" w:rsidRDefault="003B71D5">
      <w:pPr>
        <w:pStyle w:val="Heading1"/>
        <w:numPr>
          <w:ilvl w:val="0"/>
          <w:numId w:val="1"/>
        </w:numPr>
        <w:tabs>
          <w:tab w:val="left" w:pos="565"/>
        </w:tabs>
        <w:spacing w:before="162"/>
        <w:rPr>
          <w:rFonts w:ascii="Book Antiqua" w:hAnsi="Book Antiqua"/>
          <w:sz w:val="20"/>
          <w:szCs w:val="20"/>
          <w:u w:val="single"/>
        </w:rPr>
      </w:pPr>
      <w:r w:rsidRPr="008150FC">
        <w:rPr>
          <w:rFonts w:ascii="Book Antiqua" w:hAnsi="Book Antiqua"/>
          <w:sz w:val="20"/>
          <w:szCs w:val="20"/>
          <w:u w:val="single"/>
        </w:rPr>
        <w:t>Interpretation &amp;</w:t>
      </w:r>
      <w:r w:rsidRPr="008150FC">
        <w:rPr>
          <w:rFonts w:ascii="Book Antiqua" w:hAnsi="Book Antiqua"/>
          <w:spacing w:val="29"/>
          <w:sz w:val="20"/>
          <w:szCs w:val="20"/>
          <w:u w:val="single"/>
        </w:rPr>
        <w:t xml:space="preserve"> </w:t>
      </w:r>
      <w:r w:rsidRPr="008150FC">
        <w:rPr>
          <w:rFonts w:ascii="Book Antiqua" w:hAnsi="Book Antiqua"/>
          <w:sz w:val="20"/>
          <w:szCs w:val="20"/>
          <w:u w:val="single"/>
        </w:rPr>
        <w:t>Definitions:</w:t>
      </w:r>
    </w:p>
    <w:p w:rsidR="001678AC" w:rsidRPr="008150FC" w:rsidRDefault="003B71D5" w:rsidP="005B7224">
      <w:pPr>
        <w:pStyle w:val="BodyText"/>
        <w:spacing w:before="165" w:line="268" w:lineRule="auto"/>
        <w:ind w:left="564" w:right="493"/>
        <w:jc w:val="both"/>
        <w:rPr>
          <w:rFonts w:ascii="Book Antiqua" w:hAnsi="Book Antiqua"/>
          <w:sz w:val="20"/>
          <w:szCs w:val="20"/>
        </w:rPr>
      </w:pPr>
      <w:r w:rsidRPr="008150FC">
        <w:rPr>
          <w:rFonts w:ascii="Book Antiqua" w:hAnsi="Book Antiqua"/>
          <w:sz w:val="20"/>
          <w:szCs w:val="20"/>
        </w:rPr>
        <w:t>The terms and expressions not defined hereunder shall have the same meaning as defined under the Companies Act, 2013, SEBI Act, 1992 and the Listing Regulations.</w:t>
      </w:r>
    </w:p>
    <w:p w:rsidR="001678AC" w:rsidRPr="008150FC" w:rsidRDefault="003B71D5">
      <w:pPr>
        <w:pStyle w:val="ListParagraph"/>
        <w:numPr>
          <w:ilvl w:val="1"/>
          <w:numId w:val="1"/>
        </w:numPr>
        <w:tabs>
          <w:tab w:val="left" w:pos="916"/>
        </w:tabs>
        <w:spacing w:before="145" w:line="252" w:lineRule="auto"/>
        <w:ind w:left="915" w:right="581"/>
        <w:rPr>
          <w:rFonts w:ascii="Book Antiqua" w:hAnsi="Book Antiqua"/>
          <w:sz w:val="20"/>
          <w:szCs w:val="20"/>
        </w:rPr>
      </w:pPr>
      <w:r w:rsidRPr="008150FC">
        <w:rPr>
          <w:rFonts w:ascii="Book Antiqua" w:hAnsi="Book Antiqua"/>
          <w:b/>
          <w:sz w:val="20"/>
          <w:szCs w:val="20"/>
        </w:rPr>
        <w:t>“Board” or “Board of Directors”</w:t>
      </w:r>
      <w:r w:rsidRPr="008150FC">
        <w:rPr>
          <w:rFonts w:ascii="Book Antiqua" w:hAnsi="Book Antiqua"/>
          <w:sz w:val="20"/>
          <w:szCs w:val="20"/>
        </w:rPr>
        <w:t xml:space="preserve"> means the Board of Directors as defined under Section 2(10) of the Companies Act,</w:t>
      </w:r>
      <w:r w:rsidRPr="008150FC">
        <w:rPr>
          <w:rFonts w:ascii="Book Antiqua" w:hAnsi="Book Antiqua"/>
          <w:spacing w:val="6"/>
          <w:sz w:val="20"/>
          <w:szCs w:val="20"/>
        </w:rPr>
        <w:t xml:space="preserve"> </w:t>
      </w:r>
      <w:r w:rsidRPr="008150FC">
        <w:rPr>
          <w:rFonts w:ascii="Book Antiqua" w:hAnsi="Book Antiqua"/>
          <w:sz w:val="20"/>
          <w:szCs w:val="20"/>
        </w:rPr>
        <w:t>2013.</w:t>
      </w:r>
    </w:p>
    <w:p w:rsidR="001678AC" w:rsidRPr="008150FC" w:rsidRDefault="003B71D5">
      <w:pPr>
        <w:pStyle w:val="ListParagraph"/>
        <w:numPr>
          <w:ilvl w:val="1"/>
          <w:numId w:val="1"/>
        </w:numPr>
        <w:tabs>
          <w:tab w:val="left" w:pos="916"/>
        </w:tabs>
        <w:spacing w:before="167" w:line="256" w:lineRule="auto"/>
        <w:ind w:left="915" w:right="570"/>
        <w:rPr>
          <w:rFonts w:ascii="Book Antiqua" w:hAnsi="Book Antiqua"/>
          <w:sz w:val="20"/>
          <w:szCs w:val="20"/>
        </w:rPr>
      </w:pPr>
      <w:r w:rsidRPr="008150FC">
        <w:rPr>
          <w:rFonts w:ascii="Book Antiqua" w:hAnsi="Book Antiqua"/>
          <w:b/>
          <w:sz w:val="20"/>
          <w:szCs w:val="20"/>
        </w:rPr>
        <w:t>“Audit Committee”</w:t>
      </w:r>
      <w:r w:rsidRPr="008150FC">
        <w:rPr>
          <w:rFonts w:ascii="Book Antiqua" w:hAnsi="Book Antiqua"/>
          <w:sz w:val="20"/>
          <w:szCs w:val="20"/>
        </w:rPr>
        <w:t xml:space="preserve"> means the Committee constituted by the Board from time to time under Section 177(1) of the Companies Act, 2013 and regulation 18(1) of the Listing Regulations.</w:t>
      </w:r>
    </w:p>
    <w:p w:rsidR="001678AC" w:rsidRPr="008150FC" w:rsidRDefault="003B71D5">
      <w:pPr>
        <w:pStyle w:val="ListParagraph"/>
        <w:numPr>
          <w:ilvl w:val="1"/>
          <w:numId w:val="1"/>
        </w:numPr>
        <w:tabs>
          <w:tab w:val="left" w:pos="916"/>
        </w:tabs>
        <w:spacing w:before="163" w:line="256" w:lineRule="auto"/>
        <w:ind w:left="915" w:right="573"/>
        <w:rPr>
          <w:rFonts w:ascii="Book Antiqua" w:hAnsi="Book Antiqua"/>
          <w:sz w:val="20"/>
          <w:szCs w:val="20"/>
        </w:rPr>
      </w:pPr>
      <w:r w:rsidRPr="008150FC">
        <w:rPr>
          <w:rFonts w:ascii="Book Antiqua" w:hAnsi="Book Antiqua"/>
          <w:b/>
          <w:sz w:val="20"/>
          <w:szCs w:val="20"/>
        </w:rPr>
        <w:t>“Independent Director”</w:t>
      </w:r>
      <w:r w:rsidRPr="008150FC">
        <w:rPr>
          <w:rFonts w:ascii="Book Antiqua" w:hAnsi="Book Antiqua"/>
          <w:sz w:val="20"/>
          <w:szCs w:val="20"/>
        </w:rPr>
        <w:t xml:space="preserve"> means an Independent Director of the Company as defined in Section 149(6) of the Companies Act, 2013 and regulation 16(1)(b) of the Listing Regulations.</w:t>
      </w:r>
    </w:p>
    <w:p w:rsidR="001678AC" w:rsidRPr="008150FC" w:rsidRDefault="003B71D5">
      <w:pPr>
        <w:pStyle w:val="ListParagraph"/>
        <w:numPr>
          <w:ilvl w:val="1"/>
          <w:numId w:val="1"/>
        </w:numPr>
        <w:tabs>
          <w:tab w:val="left" w:pos="916"/>
        </w:tabs>
        <w:spacing w:before="163"/>
        <w:ind w:left="915" w:right="567"/>
        <w:rPr>
          <w:rFonts w:ascii="Book Antiqua" w:hAnsi="Book Antiqua"/>
          <w:sz w:val="20"/>
          <w:szCs w:val="20"/>
        </w:rPr>
      </w:pPr>
      <w:r w:rsidRPr="008150FC">
        <w:rPr>
          <w:rFonts w:ascii="Book Antiqua" w:hAnsi="Book Antiqua"/>
          <w:b/>
          <w:sz w:val="20"/>
          <w:szCs w:val="20"/>
        </w:rPr>
        <w:t>“Material Subsidiary”</w:t>
      </w:r>
      <w:r w:rsidRPr="008150FC">
        <w:rPr>
          <w:rFonts w:ascii="Book Antiqua" w:hAnsi="Book Antiqua"/>
          <w:sz w:val="20"/>
          <w:szCs w:val="20"/>
        </w:rPr>
        <w:t xml:space="preserve"> means a subsidiary, whose income or net worth exceeds 10% (ten percent) of the consolidated income or net worth respectively, of the listed entity and its subsidiaries in the immediately preceding accounting</w:t>
      </w:r>
      <w:r w:rsidRPr="008150FC">
        <w:rPr>
          <w:rFonts w:ascii="Book Antiqua" w:hAnsi="Book Antiqua"/>
          <w:spacing w:val="-1"/>
          <w:sz w:val="20"/>
          <w:szCs w:val="20"/>
        </w:rPr>
        <w:t xml:space="preserve"> </w:t>
      </w:r>
      <w:r w:rsidRPr="008150FC">
        <w:rPr>
          <w:rFonts w:ascii="Book Antiqua" w:hAnsi="Book Antiqua"/>
          <w:sz w:val="20"/>
          <w:szCs w:val="20"/>
        </w:rPr>
        <w:t>year.</w:t>
      </w:r>
    </w:p>
    <w:p w:rsidR="001678AC" w:rsidRPr="008150FC" w:rsidRDefault="001678AC">
      <w:pPr>
        <w:pStyle w:val="BodyText"/>
        <w:spacing w:before="1"/>
        <w:rPr>
          <w:rFonts w:ascii="Book Antiqua" w:hAnsi="Book Antiqua"/>
          <w:sz w:val="20"/>
          <w:szCs w:val="20"/>
        </w:rPr>
      </w:pPr>
    </w:p>
    <w:p w:rsidR="001678AC" w:rsidRPr="008150FC" w:rsidRDefault="003B71D5">
      <w:pPr>
        <w:pStyle w:val="ListParagraph"/>
        <w:numPr>
          <w:ilvl w:val="1"/>
          <w:numId w:val="1"/>
        </w:numPr>
        <w:tabs>
          <w:tab w:val="left" w:pos="916"/>
        </w:tabs>
        <w:spacing w:before="1" w:line="252" w:lineRule="auto"/>
        <w:ind w:left="915" w:right="579"/>
        <w:rPr>
          <w:rFonts w:ascii="Book Antiqua" w:hAnsi="Book Antiqua"/>
          <w:sz w:val="20"/>
          <w:szCs w:val="20"/>
        </w:rPr>
      </w:pPr>
      <w:r w:rsidRPr="008150FC">
        <w:rPr>
          <w:rFonts w:ascii="Book Antiqua" w:hAnsi="Book Antiqua"/>
          <w:b/>
          <w:sz w:val="20"/>
          <w:szCs w:val="20"/>
        </w:rPr>
        <w:t>“Subsidiary Company” or “Subsidiary”</w:t>
      </w:r>
      <w:r w:rsidRPr="008150FC">
        <w:rPr>
          <w:rFonts w:ascii="Book Antiqua" w:hAnsi="Book Antiqua"/>
          <w:sz w:val="20"/>
          <w:szCs w:val="20"/>
        </w:rPr>
        <w:t xml:space="preserve"> in relation to any other Company means a Company in Which the Holding Company:-</w:t>
      </w:r>
    </w:p>
    <w:p w:rsidR="001678AC" w:rsidRPr="008150FC" w:rsidRDefault="001678AC">
      <w:pPr>
        <w:pStyle w:val="BodyText"/>
        <w:spacing w:before="7"/>
        <w:rPr>
          <w:rFonts w:ascii="Book Antiqua" w:hAnsi="Book Antiqua"/>
          <w:sz w:val="20"/>
          <w:szCs w:val="20"/>
        </w:rPr>
      </w:pPr>
    </w:p>
    <w:p w:rsidR="001678AC" w:rsidRPr="008150FC" w:rsidRDefault="003B71D5">
      <w:pPr>
        <w:pStyle w:val="ListParagraph"/>
        <w:numPr>
          <w:ilvl w:val="2"/>
          <w:numId w:val="1"/>
        </w:numPr>
        <w:tabs>
          <w:tab w:val="left" w:pos="1266"/>
        </w:tabs>
        <w:rPr>
          <w:rFonts w:ascii="Book Antiqua" w:hAnsi="Book Antiqua"/>
          <w:sz w:val="20"/>
          <w:szCs w:val="20"/>
        </w:rPr>
      </w:pPr>
      <w:r w:rsidRPr="008150FC">
        <w:rPr>
          <w:rFonts w:ascii="Book Antiqua" w:hAnsi="Book Antiqua"/>
          <w:sz w:val="20"/>
          <w:szCs w:val="20"/>
        </w:rPr>
        <w:t>Controls the Composition of the Board of</w:t>
      </w:r>
      <w:r w:rsidRPr="008150FC">
        <w:rPr>
          <w:rFonts w:ascii="Book Antiqua" w:hAnsi="Book Antiqua"/>
          <w:spacing w:val="53"/>
          <w:sz w:val="20"/>
          <w:szCs w:val="20"/>
        </w:rPr>
        <w:t xml:space="preserve"> </w:t>
      </w:r>
      <w:r w:rsidRPr="008150FC">
        <w:rPr>
          <w:rFonts w:ascii="Book Antiqua" w:hAnsi="Book Antiqua"/>
          <w:sz w:val="20"/>
          <w:szCs w:val="20"/>
        </w:rPr>
        <w:t>Directors</w:t>
      </w:r>
    </w:p>
    <w:p w:rsidR="001678AC" w:rsidRPr="008150FC" w:rsidRDefault="003B71D5">
      <w:pPr>
        <w:pStyle w:val="BodyText"/>
        <w:spacing w:before="24" w:line="264" w:lineRule="auto"/>
        <w:ind w:left="1265" w:right="493" w:hanging="351"/>
        <w:rPr>
          <w:rFonts w:ascii="Book Antiqua" w:hAnsi="Book Antiqua"/>
          <w:sz w:val="20"/>
          <w:szCs w:val="20"/>
        </w:rPr>
      </w:pPr>
      <w:r w:rsidRPr="008150FC">
        <w:rPr>
          <w:rFonts w:ascii="Book Antiqua" w:hAnsi="Book Antiqua"/>
          <w:sz w:val="20"/>
          <w:szCs w:val="20"/>
        </w:rPr>
        <w:t>(j) Exercises or Controls more than one-half of the (Total Voting Power) either at its own or together with one or more of the Subsidiaries</w:t>
      </w:r>
      <w:r w:rsidRPr="008150FC">
        <w:rPr>
          <w:rFonts w:ascii="Book Antiqua" w:hAnsi="Book Antiqua"/>
          <w:spacing w:val="15"/>
          <w:sz w:val="20"/>
          <w:szCs w:val="20"/>
        </w:rPr>
        <w:t xml:space="preserve"> </w:t>
      </w:r>
      <w:r w:rsidRPr="008150FC">
        <w:rPr>
          <w:rFonts w:ascii="Book Antiqua" w:hAnsi="Book Antiqua"/>
          <w:sz w:val="20"/>
          <w:szCs w:val="20"/>
        </w:rPr>
        <w:t>Companies.</w:t>
      </w:r>
    </w:p>
    <w:p w:rsidR="008150FC" w:rsidRDefault="003B71D5" w:rsidP="008150FC">
      <w:pPr>
        <w:pStyle w:val="ListParagraph"/>
        <w:numPr>
          <w:ilvl w:val="1"/>
          <w:numId w:val="1"/>
        </w:numPr>
        <w:tabs>
          <w:tab w:val="left" w:pos="916"/>
        </w:tabs>
        <w:spacing w:before="151" w:line="254" w:lineRule="auto"/>
        <w:ind w:left="915" w:right="574"/>
        <w:rPr>
          <w:rFonts w:ascii="Book Antiqua" w:hAnsi="Book Antiqua"/>
          <w:sz w:val="20"/>
          <w:szCs w:val="20"/>
        </w:rPr>
      </w:pPr>
      <w:r w:rsidRPr="008150FC">
        <w:rPr>
          <w:rFonts w:ascii="Book Antiqua" w:hAnsi="Book Antiqua"/>
          <w:b/>
          <w:sz w:val="20"/>
          <w:szCs w:val="20"/>
        </w:rPr>
        <w:t>“Significant Transaction or Arrangement”</w:t>
      </w:r>
      <w:r w:rsidRPr="008150FC">
        <w:rPr>
          <w:rFonts w:ascii="Book Antiqua" w:hAnsi="Book Antiqua"/>
          <w:sz w:val="20"/>
          <w:szCs w:val="20"/>
        </w:rPr>
        <w:t xml:space="preserve"> means any individual transaction or arrangement that exceeds or is likely to exceed ten percent of the total revenues</w:t>
      </w:r>
      <w:r w:rsidRPr="008150FC">
        <w:rPr>
          <w:rFonts w:ascii="Book Antiqua" w:hAnsi="Book Antiqua"/>
          <w:spacing w:val="6"/>
          <w:sz w:val="20"/>
          <w:szCs w:val="20"/>
        </w:rPr>
        <w:t xml:space="preserve"> </w:t>
      </w:r>
      <w:r w:rsidRPr="008150FC">
        <w:rPr>
          <w:rFonts w:ascii="Book Antiqua" w:hAnsi="Book Antiqua"/>
          <w:sz w:val="20"/>
          <w:szCs w:val="20"/>
        </w:rPr>
        <w:t>or</w:t>
      </w:r>
    </w:p>
    <w:p w:rsidR="008150FC" w:rsidRDefault="008150FC" w:rsidP="008150FC">
      <w:pPr>
        <w:tabs>
          <w:tab w:val="left" w:pos="916"/>
        </w:tabs>
      </w:pPr>
      <w:r>
        <w:tab/>
      </w:r>
    </w:p>
    <w:p w:rsidR="008150FC" w:rsidRDefault="008150FC" w:rsidP="008150FC"/>
    <w:p w:rsidR="001678AC" w:rsidRPr="008150FC" w:rsidRDefault="001678AC" w:rsidP="008150FC">
      <w:pPr>
        <w:sectPr w:rsidR="001678AC" w:rsidRPr="008150FC" w:rsidSect="006F31AC">
          <w:footerReference w:type="default" r:id="rId9"/>
          <w:type w:val="continuous"/>
          <w:pgSz w:w="11910" w:h="16840"/>
          <w:pgMar w:top="1160" w:right="820" w:bottom="1880" w:left="1540" w:header="720" w:footer="1687" w:gutter="0"/>
          <w:pgBorders w:offsetFrom="page">
            <w:top w:val="single" w:sz="4" w:space="24" w:color="auto"/>
            <w:left w:val="single" w:sz="4" w:space="24" w:color="auto"/>
            <w:bottom w:val="single" w:sz="4" w:space="24" w:color="auto"/>
            <w:right w:val="single" w:sz="4" w:space="24" w:color="auto"/>
          </w:pgBorders>
          <w:pgNumType w:start="1"/>
          <w:cols w:space="720"/>
        </w:sectPr>
      </w:pPr>
    </w:p>
    <w:p w:rsidR="001678AC" w:rsidRPr="008150FC" w:rsidRDefault="001678AC">
      <w:pPr>
        <w:pStyle w:val="BodyText"/>
        <w:rPr>
          <w:rFonts w:ascii="Book Antiqua" w:hAnsi="Book Antiqua"/>
          <w:sz w:val="20"/>
          <w:szCs w:val="20"/>
        </w:rPr>
      </w:pPr>
    </w:p>
    <w:p w:rsidR="001678AC" w:rsidRPr="008150FC" w:rsidRDefault="001678AC">
      <w:pPr>
        <w:pStyle w:val="BodyText"/>
        <w:spacing w:before="7"/>
        <w:rPr>
          <w:rFonts w:ascii="Book Antiqua" w:hAnsi="Book Antiqua"/>
          <w:sz w:val="20"/>
          <w:szCs w:val="20"/>
        </w:rPr>
      </w:pPr>
    </w:p>
    <w:p w:rsidR="001678AC" w:rsidRPr="008150FC" w:rsidRDefault="003B71D5">
      <w:pPr>
        <w:pStyle w:val="BodyText"/>
        <w:spacing w:before="94" w:line="266" w:lineRule="auto"/>
        <w:ind w:left="912" w:right="493"/>
        <w:rPr>
          <w:rFonts w:ascii="Book Antiqua" w:hAnsi="Book Antiqua"/>
          <w:sz w:val="20"/>
          <w:szCs w:val="20"/>
        </w:rPr>
      </w:pPr>
      <w:r w:rsidRPr="008150FC">
        <w:rPr>
          <w:rFonts w:ascii="Book Antiqua" w:hAnsi="Book Antiqua"/>
          <w:sz w:val="20"/>
          <w:szCs w:val="20"/>
        </w:rPr>
        <w:t>total expenses or total assets or total liabilities, as the case may be, of the unlisted material subsidiary for the immediately preceding accounting year.</w:t>
      </w:r>
    </w:p>
    <w:p w:rsidR="001678AC" w:rsidRPr="008150FC" w:rsidRDefault="003B71D5">
      <w:pPr>
        <w:pStyle w:val="BodyText"/>
        <w:spacing w:before="147" w:line="264" w:lineRule="auto"/>
        <w:ind w:left="718" w:right="570"/>
        <w:jc w:val="both"/>
        <w:rPr>
          <w:rFonts w:ascii="Book Antiqua" w:hAnsi="Book Antiqua"/>
          <w:sz w:val="20"/>
          <w:szCs w:val="20"/>
        </w:rPr>
      </w:pPr>
      <w:r w:rsidRPr="008150FC">
        <w:rPr>
          <w:rFonts w:ascii="Book Antiqua" w:hAnsi="Book Antiqua"/>
          <w:b/>
          <w:sz w:val="20"/>
          <w:szCs w:val="20"/>
        </w:rPr>
        <w:t>Guiding Principles-</w:t>
      </w:r>
      <w:r w:rsidRPr="008150FC">
        <w:rPr>
          <w:rFonts w:ascii="Book Antiqua" w:hAnsi="Book Antiqua"/>
          <w:sz w:val="20"/>
          <w:szCs w:val="20"/>
        </w:rPr>
        <w:t>A subsidiary shall be a Material Subsidiary, if its income or net worth exceeds ten percent of the consolidated income or net worth respectively, of the listed entity and its subsidiaries in the immediately preceding accounting year.</w:t>
      </w:r>
    </w:p>
    <w:p w:rsidR="001678AC" w:rsidRPr="008150FC" w:rsidRDefault="001678AC">
      <w:pPr>
        <w:pStyle w:val="BodyText"/>
        <w:spacing w:before="10"/>
        <w:rPr>
          <w:rFonts w:ascii="Book Antiqua" w:hAnsi="Book Antiqua"/>
          <w:sz w:val="20"/>
          <w:szCs w:val="20"/>
        </w:rPr>
      </w:pPr>
    </w:p>
    <w:p w:rsidR="001678AC" w:rsidRPr="008150FC" w:rsidRDefault="003B71D5">
      <w:pPr>
        <w:pStyle w:val="Heading1"/>
        <w:numPr>
          <w:ilvl w:val="0"/>
          <w:numId w:val="1"/>
        </w:numPr>
        <w:tabs>
          <w:tab w:val="left" w:pos="563"/>
        </w:tabs>
        <w:spacing w:before="1"/>
        <w:ind w:left="562" w:hanging="352"/>
        <w:rPr>
          <w:rFonts w:ascii="Book Antiqua" w:hAnsi="Book Antiqua"/>
          <w:sz w:val="20"/>
          <w:szCs w:val="20"/>
          <w:u w:val="single"/>
        </w:rPr>
      </w:pPr>
      <w:r w:rsidRPr="008150FC">
        <w:rPr>
          <w:rFonts w:ascii="Book Antiqua" w:hAnsi="Book Antiqua"/>
          <w:sz w:val="20"/>
          <w:szCs w:val="20"/>
          <w:u w:val="single"/>
        </w:rPr>
        <w:t>Procedure and</w:t>
      </w:r>
      <w:r w:rsidRPr="008150FC">
        <w:rPr>
          <w:rFonts w:ascii="Book Antiqua" w:hAnsi="Book Antiqua"/>
          <w:spacing w:val="-6"/>
          <w:sz w:val="20"/>
          <w:szCs w:val="20"/>
          <w:u w:val="single"/>
        </w:rPr>
        <w:t xml:space="preserve"> </w:t>
      </w:r>
      <w:r w:rsidRPr="008150FC">
        <w:rPr>
          <w:rFonts w:ascii="Book Antiqua" w:hAnsi="Book Antiqua"/>
          <w:sz w:val="20"/>
          <w:szCs w:val="20"/>
          <w:u w:val="single"/>
        </w:rPr>
        <w:t>Policy:</w:t>
      </w:r>
    </w:p>
    <w:p w:rsidR="001678AC" w:rsidRPr="008150FC" w:rsidRDefault="001678AC">
      <w:pPr>
        <w:pStyle w:val="BodyText"/>
        <w:spacing w:before="4"/>
        <w:rPr>
          <w:rFonts w:ascii="Book Antiqua" w:hAnsi="Book Antiqua"/>
          <w:b/>
          <w:sz w:val="20"/>
          <w:szCs w:val="20"/>
        </w:rPr>
      </w:pPr>
    </w:p>
    <w:p w:rsidR="001678AC" w:rsidRPr="008150FC" w:rsidRDefault="003B71D5">
      <w:pPr>
        <w:pStyle w:val="ListParagraph"/>
        <w:numPr>
          <w:ilvl w:val="1"/>
          <w:numId w:val="1"/>
        </w:numPr>
        <w:tabs>
          <w:tab w:val="left" w:pos="913"/>
        </w:tabs>
        <w:spacing w:line="244" w:lineRule="auto"/>
        <w:ind w:right="581"/>
        <w:rPr>
          <w:rFonts w:ascii="Book Antiqua" w:hAnsi="Book Antiqua"/>
          <w:sz w:val="20"/>
          <w:szCs w:val="20"/>
        </w:rPr>
      </w:pPr>
      <w:r w:rsidRPr="008150FC">
        <w:rPr>
          <w:rFonts w:ascii="Book Antiqua" w:hAnsi="Book Antiqua"/>
          <w:sz w:val="20"/>
          <w:szCs w:val="20"/>
        </w:rPr>
        <w:t>At least one independent director of the Company shall be a director on the board of directors of an unlisted material subsidiary, incorporated in</w:t>
      </w:r>
      <w:r w:rsidRPr="008150FC">
        <w:rPr>
          <w:rFonts w:ascii="Book Antiqua" w:hAnsi="Book Antiqua"/>
          <w:spacing w:val="-12"/>
          <w:sz w:val="20"/>
          <w:szCs w:val="20"/>
        </w:rPr>
        <w:t xml:space="preserve"> </w:t>
      </w:r>
      <w:r w:rsidRPr="008150FC">
        <w:rPr>
          <w:rFonts w:ascii="Book Antiqua" w:hAnsi="Book Antiqua"/>
          <w:sz w:val="20"/>
          <w:szCs w:val="20"/>
        </w:rPr>
        <w:t>India.</w:t>
      </w:r>
    </w:p>
    <w:p w:rsidR="001678AC" w:rsidRPr="008150FC" w:rsidRDefault="001678AC">
      <w:pPr>
        <w:pStyle w:val="BodyText"/>
        <w:spacing w:before="9"/>
        <w:rPr>
          <w:rFonts w:ascii="Book Antiqua" w:hAnsi="Book Antiqua"/>
          <w:sz w:val="20"/>
          <w:szCs w:val="20"/>
        </w:rPr>
      </w:pPr>
    </w:p>
    <w:p w:rsidR="001678AC" w:rsidRPr="008150FC" w:rsidRDefault="003B71D5">
      <w:pPr>
        <w:pStyle w:val="ListParagraph"/>
        <w:numPr>
          <w:ilvl w:val="1"/>
          <w:numId w:val="1"/>
        </w:numPr>
        <w:tabs>
          <w:tab w:val="left" w:pos="913"/>
        </w:tabs>
        <w:spacing w:line="244" w:lineRule="auto"/>
        <w:ind w:right="572"/>
        <w:rPr>
          <w:rFonts w:ascii="Book Antiqua" w:hAnsi="Book Antiqua"/>
          <w:sz w:val="20"/>
          <w:szCs w:val="20"/>
        </w:rPr>
      </w:pPr>
      <w:r w:rsidRPr="008150FC">
        <w:rPr>
          <w:rFonts w:ascii="Book Antiqua" w:hAnsi="Book Antiqua"/>
          <w:sz w:val="20"/>
          <w:szCs w:val="20"/>
        </w:rPr>
        <w:t>The audit committee of the Company shall also review the financial statements, in particular, the investments made by the unlisted subsidiary.</w:t>
      </w:r>
    </w:p>
    <w:p w:rsidR="001678AC" w:rsidRPr="008150FC" w:rsidRDefault="003B71D5">
      <w:pPr>
        <w:pStyle w:val="ListParagraph"/>
        <w:numPr>
          <w:ilvl w:val="1"/>
          <w:numId w:val="1"/>
        </w:numPr>
        <w:tabs>
          <w:tab w:val="left" w:pos="913"/>
        </w:tabs>
        <w:spacing w:before="180" w:line="244" w:lineRule="auto"/>
        <w:ind w:right="604"/>
        <w:rPr>
          <w:rFonts w:ascii="Book Antiqua" w:hAnsi="Book Antiqua"/>
          <w:sz w:val="20"/>
          <w:szCs w:val="20"/>
        </w:rPr>
      </w:pPr>
      <w:r w:rsidRPr="008150FC">
        <w:rPr>
          <w:rFonts w:ascii="Book Antiqua" w:hAnsi="Book Antiqua"/>
          <w:sz w:val="20"/>
          <w:szCs w:val="20"/>
        </w:rPr>
        <w:t>The minutes of the meetings of the board of directors of the unlisted subsidiary shall be placed at the meeting of the board of directors of the</w:t>
      </w:r>
      <w:r w:rsidRPr="008150FC">
        <w:rPr>
          <w:rFonts w:ascii="Book Antiqua" w:hAnsi="Book Antiqua"/>
          <w:spacing w:val="11"/>
          <w:sz w:val="20"/>
          <w:szCs w:val="20"/>
        </w:rPr>
        <w:t xml:space="preserve"> </w:t>
      </w:r>
      <w:r w:rsidRPr="008150FC">
        <w:rPr>
          <w:rFonts w:ascii="Book Antiqua" w:hAnsi="Book Antiqua"/>
          <w:sz w:val="20"/>
          <w:szCs w:val="20"/>
        </w:rPr>
        <w:t>Company.</w:t>
      </w:r>
    </w:p>
    <w:p w:rsidR="001678AC" w:rsidRPr="008150FC" w:rsidRDefault="003B71D5">
      <w:pPr>
        <w:pStyle w:val="ListParagraph"/>
        <w:numPr>
          <w:ilvl w:val="1"/>
          <w:numId w:val="1"/>
        </w:numPr>
        <w:tabs>
          <w:tab w:val="left" w:pos="913"/>
        </w:tabs>
        <w:spacing w:before="176" w:line="242" w:lineRule="auto"/>
        <w:ind w:right="579"/>
        <w:rPr>
          <w:rFonts w:ascii="Book Antiqua" w:hAnsi="Book Antiqua"/>
          <w:sz w:val="20"/>
          <w:szCs w:val="20"/>
        </w:rPr>
      </w:pPr>
      <w:r w:rsidRPr="008150FC">
        <w:rPr>
          <w:rFonts w:ascii="Book Antiqua" w:hAnsi="Book Antiqua"/>
          <w:sz w:val="20"/>
          <w:szCs w:val="20"/>
        </w:rPr>
        <w:t>The management of the unlisted subsidiary shall  periodically bring to  the notice of  the board of directors of the Company, a statement of all significant transactions and arrangements entered into by the unlisted</w:t>
      </w:r>
      <w:r w:rsidRPr="008150FC">
        <w:rPr>
          <w:rFonts w:ascii="Book Antiqua" w:hAnsi="Book Antiqua"/>
          <w:spacing w:val="-11"/>
          <w:sz w:val="20"/>
          <w:szCs w:val="20"/>
        </w:rPr>
        <w:t xml:space="preserve"> </w:t>
      </w:r>
      <w:r w:rsidRPr="008150FC">
        <w:rPr>
          <w:rFonts w:ascii="Book Antiqua" w:hAnsi="Book Antiqua"/>
          <w:sz w:val="20"/>
          <w:szCs w:val="20"/>
        </w:rPr>
        <w:t>subsidiary.</w:t>
      </w:r>
    </w:p>
    <w:p w:rsidR="001678AC" w:rsidRPr="008150FC" w:rsidRDefault="001678AC">
      <w:pPr>
        <w:pStyle w:val="BodyText"/>
        <w:spacing w:before="5"/>
        <w:rPr>
          <w:rFonts w:ascii="Book Antiqua" w:hAnsi="Book Antiqua"/>
          <w:sz w:val="20"/>
          <w:szCs w:val="20"/>
        </w:rPr>
      </w:pPr>
    </w:p>
    <w:p w:rsidR="001678AC" w:rsidRPr="008150FC" w:rsidRDefault="003B71D5">
      <w:pPr>
        <w:pStyle w:val="ListParagraph"/>
        <w:numPr>
          <w:ilvl w:val="1"/>
          <w:numId w:val="1"/>
        </w:numPr>
        <w:tabs>
          <w:tab w:val="left" w:pos="913"/>
        </w:tabs>
        <w:spacing w:line="242" w:lineRule="auto"/>
        <w:ind w:right="577"/>
        <w:rPr>
          <w:rFonts w:ascii="Book Antiqua" w:hAnsi="Book Antiqua"/>
          <w:sz w:val="20"/>
          <w:szCs w:val="20"/>
        </w:rPr>
      </w:pPr>
      <w:r w:rsidRPr="008150FC">
        <w:rPr>
          <w:rFonts w:ascii="Book Antiqua" w:hAnsi="Book Antiqua"/>
          <w:sz w:val="20"/>
          <w:szCs w:val="20"/>
        </w:rPr>
        <w:t>The Company shall not dispose of the shares in its material subsidiary resulting in reduction of its shareholding (either on its own or together with other subsidiaries) to less than fifty percent or cease the exercise of control over the subsidiary without passing a special resolution in its General Meeting except in cases where such divestment is made under a scheme of arrangement duly approved by a  Court/Tribunal.</w:t>
      </w:r>
    </w:p>
    <w:p w:rsidR="001678AC" w:rsidRPr="008150FC" w:rsidRDefault="001678AC">
      <w:pPr>
        <w:pStyle w:val="BodyText"/>
        <w:spacing w:before="5"/>
        <w:rPr>
          <w:rFonts w:ascii="Book Antiqua" w:hAnsi="Book Antiqua"/>
          <w:sz w:val="20"/>
          <w:szCs w:val="20"/>
        </w:rPr>
      </w:pPr>
    </w:p>
    <w:p w:rsidR="001678AC" w:rsidRPr="008150FC" w:rsidRDefault="003B71D5">
      <w:pPr>
        <w:pStyle w:val="ListParagraph"/>
        <w:numPr>
          <w:ilvl w:val="1"/>
          <w:numId w:val="1"/>
        </w:numPr>
        <w:tabs>
          <w:tab w:val="left" w:pos="913"/>
        </w:tabs>
        <w:spacing w:line="244" w:lineRule="auto"/>
        <w:ind w:right="577"/>
        <w:rPr>
          <w:rFonts w:ascii="Book Antiqua" w:hAnsi="Book Antiqua"/>
          <w:sz w:val="20"/>
          <w:szCs w:val="20"/>
        </w:rPr>
      </w:pPr>
      <w:r w:rsidRPr="008150FC">
        <w:rPr>
          <w:rFonts w:ascii="Book Antiqua" w:hAnsi="Book Antiqua"/>
          <w:sz w:val="20"/>
          <w:szCs w:val="20"/>
        </w:rPr>
        <w:t xml:space="preserve">Selling, disposing and leasing of assets amounting to more than twenty percent of the assets of the material subsidiary on an aggregate basis during a financial year shall require prior approval of shareholders by way of special resolution, unless the sale/disposal/lease is made under a scheme of arrangement duly approved </w:t>
      </w:r>
      <w:r w:rsidRPr="008150FC">
        <w:rPr>
          <w:rFonts w:ascii="Book Antiqua" w:hAnsi="Book Antiqua"/>
          <w:spacing w:val="3"/>
          <w:sz w:val="20"/>
          <w:szCs w:val="20"/>
        </w:rPr>
        <w:t xml:space="preserve">by </w:t>
      </w:r>
      <w:r w:rsidRPr="008150FC">
        <w:rPr>
          <w:rFonts w:ascii="Book Antiqua" w:hAnsi="Book Antiqua"/>
          <w:sz w:val="20"/>
          <w:szCs w:val="20"/>
        </w:rPr>
        <w:t>a Court/Tribunal.</w:t>
      </w:r>
    </w:p>
    <w:p w:rsidR="001678AC" w:rsidRPr="008150FC" w:rsidRDefault="001678AC">
      <w:pPr>
        <w:pStyle w:val="BodyText"/>
        <w:spacing w:before="7"/>
        <w:rPr>
          <w:rFonts w:ascii="Book Antiqua" w:hAnsi="Book Antiqua"/>
          <w:sz w:val="20"/>
          <w:szCs w:val="20"/>
        </w:rPr>
      </w:pPr>
    </w:p>
    <w:p w:rsidR="001678AC" w:rsidRPr="008150FC" w:rsidRDefault="003B71D5">
      <w:pPr>
        <w:pStyle w:val="Heading1"/>
        <w:numPr>
          <w:ilvl w:val="0"/>
          <w:numId w:val="1"/>
        </w:numPr>
        <w:tabs>
          <w:tab w:val="left" w:pos="563"/>
        </w:tabs>
        <w:spacing w:before="0"/>
        <w:ind w:left="562" w:hanging="352"/>
        <w:rPr>
          <w:rFonts w:ascii="Book Antiqua" w:hAnsi="Book Antiqua"/>
          <w:sz w:val="20"/>
          <w:szCs w:val="20"/>
          <w:u w:val="single"/>
        </w:rPr>
      </w:pPr>
      <w:r w:rsidRPr="008150FC">
        <w:rPr>
          <w:rFonts w:ascii="Book Antiqua" w:hAnsi="Book Antiqua"/>
          <w:sz w:val="20"/>
          <w:szCs w:val="20"/>
          <w:u w:val="single"/>
        </w:rPr>
        <w:t>Applicability on Listed</w:t>
      </w:r>
      <w:r w:rsidRPr="008150FC">
        <w:rPr>
          <w:rFonts w:ascii="Book Antiqua" w:hAnsi="Book Antiqua"/>
          <w:spacing w:val="4"/>
          <w:sz w:val="20"/>
          <w:szCs w:val="20"/>
          <w:u w:val="single"/>
        </w:rPr>
        <w:t xml:space="preserve"> </w:t>
      </w:r>
      <w:r w:rsidRPr="008150FC">
        <w:rPr>
          <w:rFonts w:ascii="Book Antiqua" w:hAnsi="Book Antiqua"/>
          <w:sz w:val="20"/>
          <w:szCs w:val="20"/>
          <w:u w:val="single"/>
        </w:rPr>
        <w:t>Subsidiaries:</w:t>
      </w:r>
    </w:p>
    <w:p w:rsidR="001678AC" w:rsidRPr="008150FC" w:rsidRDefault="003B71D5">
      <w:pPr>
        <w:pStyle w:val="BodyText"/>
        <w:spacing w:before="189"/>
        <w:ind w:left="473" w:right="516" w:firstLine="19"/>
        <w:jc w:val="both"/>
        <w:rPr>
          <w:rFonts w:ascii="Book Antiqua" w:hAnsi="Book Antiqua"/>
          <w:sz w:val="20"/>
          <w:szCs w:val="20"/>
        </w:rPr>
      </w:pPr>
      <w:r w:rsidRPr="008150FC">
        <w:rPr>
          <w:rFonts w:ascii="Book Antiqua" w:hAnsi="Book Antiqua"/>
          <w:sz w:val="20"/>
          <w:szCs w:val="20"/>
        </w:rPr>
        <w:t>This policy shall be applicable to all listed subsidiaries of the Company with respect to  their</w:t>
      </w:r>
      <w:r w:rsidRPr="008150FC">
        <w:rPr>
          <w:rFonts w:ascii="Book Antiqua" w:hAnsi="Book Antiqua"/>
          <w:spacing w:val="-2"/>
          <w:sz w:val="20"/>
          <w:szCs w:val="20"/>
        </w:rPr>
        <w:t xml:space="preserve"> </w:t>
      </w:r>
      <w:r w:rsidRPr="008150FC">
        <w:rPr>
          <w:rFonts w:ascii="Book Antiqua" w:hAnsi="Book Antiqua"/>
          <w:sz w:val="20"/>
          <w:szCs w:val="20"/>
        </w:rPr>
        <w:t>Subsidiaries.</w:t>
      </w:r>
    </w:p>
    <w:p w:rsidR="001678AC" w:rsidRPr="008150FC" w:rsidRDefault="001678AC">
      <w:pPr>
        <w:pStyle w:val="BodyText"/>
        <w:rPr>
          <w:rFonts w:ascii="Book Antiqua" w:hAnsi="Book Antiqua"/>
          <w:sz w:val="20"/>
          <w:szCs w:val="20"/>
        </w:rPr>
      </w:pPr>
    </w:p>
    <w:p w:rsidR="001678AC" w:rsidRPr="008150FC" w:rsidRDefault="00DF4FDF" w:rsidP="00DF4FDF">
      <w:pPr>
        <w:pStyle w:val="Heading1"/>
        <w:numPr>
          <w:ilvl w:val="0"/>
          <w:numId w:val="1"/>
        </w:numPr>
        <w:tabs>
          <w:tab w:val="left" w:pos="563"/>
        </w:tabs>
        <w:spacing w:before="166"/>
        <w:rPr>
          <w:rFonts w:ascii="Book Antiqua" w:hAnsi="Book Antiqua"/>
          <w:sz w:val="20"/>
          <w:szCs w:val="20"/>
          <w:u w:val="single"/>
        </w:rPr>
      </w:pPr>
      <w:r w:rsidRPr="008150FC">
        <w:rPr>
          <w:rFonts w:ascii="Book Antiqua" w:hAnsi="Book Antiqua"/>
          <w:sz w:val="20"/>
          <w:szCs w:val="20"/>
          <w:u w:val="single"/>
        </w:rPr>
        <w:t>Reporting And Disclosure</w:t>
      </w:r>
      <w:r w:rsidR="003B71D5" w:rsidRPr="008150FC">
        <w:rPr>
          <w:rFonts w:ascii="Book Antiqua" w:hAnsi="Book Antiqua"/>
          <w:sz w:val="20"/>
          <w:szCs w:val="20"/>
          <w:u w:val="single"/>
        </w:rPr>
        <w:t>:</w:t>
      </w:r>
    </w:p>
    <w:p w:rsidR="001678AC" w:rsidRPr="008150FC" w:rsidRDefault="00DF4FDF" w:rsidP="00DF4FDF">
      <w:pPr>
        <w:pStyle w:val="BodyText"/>
        <w:spacing w:before="187" w:line="244" w:lineRule="auto"/>
        <w:ind w:left="473" w:right="510"/>
        <w:jc w:val="both"/>
        <w:rPr>
          <w:rFonts w:ascii="Book Antiqua" w:hAnsi="Book Antiqua"/>
          <w:sz w:val="20"/>
          <w:szCs w:val="20"/>
        </w:rPr>
      </w:pPr>
      <w:r w:rsidRPr="008150FC">
        <w:rPr>
          <w:rFonts w:ascii="Book Antiqua" w:hAnsi="Book Antiqua"/>
          <w:sz w:val="20"/>
          <w:szCs w:val="20"/>
        </w:rPr>
        <w:t xml:space="preserve">As specified in Regulation 46(2)(h) of the Listing Regulations, this Policy shall be disclosed on the Company’s website i.e </w:t>
      </w:r>
      <w:hyperlink r:id="rId10" w:history="1">
        <w:r w:rsidRPr="008150FC">
          <w:rPr>
            <w:rStyle w:val="Hyperlink"/>
            <w:rFonts w:ascii="Book Antiqua" w:hAnsi="Book Antiqua"/>
            <w:sz w:val="20"/>
            <w:szCs w:val="20"/>
          </w:rPr>
          <w:t>www.mayurgroups.com</w:t>
        </w:r>
      </w:hyperlink>
      <w:r w:rsidRPr="008150FC">
        <w:rPr>
          <w:rFonts w:ascii="Book Antiqua" w:hAnsi="Book Antiqua"/>
          <w:sz w:val="20"/>
          <w:szCs w:val="20"/>
        </w:rPr>
        <w:t xml:space="preserve"> and a web link thereto shall be provided in the annual report.</w:t>
      </w:r>
      <w:r w:rsidR="003B71D5" w:rsidRPr="008150FC">
        <w:rPr>
          <w:rFonts w:ascii="Book Antiqua" w:hAnsi="Book Antiqua"/>
          <w:sz w:val="20"/>
          <w:szCs w:val="20"/>
        </w:rPr>
        <w:t>.</w:t>
      </w:r>
    </w:p>
    <w:p w:rsidR="001678AC" w:rsidRPr="008150FC" w:rsidRDefault="001678AC">
      <w:pPr>
        <w:spacing w:line="244" w:lineRule="auto"/>
        <w:jc w:val="both"/>
        <w:rPr>
          <w:rFonts w:ascii="Book Antiqua" w:hAnsi="Book Antiqua"/>
          <w:sz w:val="20"/>
          <w:szCs w:val="20"/>
        </w:rPr>
      </w:pPr>
    </w:p>
    <w:p w:rsidR="00DF4FDF" w:rsidRPr="008150FC" w:rsidRDefault="00DF4FDF">
      <w:pPr>
        <w:spacing w:line="244" w:lineRule="auto"/>
        <w:jc w:val="both"/>
        <w:rPr>
          <w:rFonts w:ascii="Book Antiqua" w:hAnsi="Book Antiqua"/>
          <w:sz w:val="20"/>
          <w:szCs w:val="20"/>
        </w:rPr>
      </w:pPr>
    </w:p>
    <w:p w:rsidR="00DF4FDF" w:rsidRPr="008150FC" w:rsidRDefault="00DF4FDF">
      <w:pPr>
        <w:spacing w:line="244" w:lineRule="auto"/>
        <w:jc w:val="both"/>
        <w:rPr>
          <w:rFonts w:ascii="Book Antiqua" w:hAnsi="Book Antiqua"/>
          <w:sz w:val="20"/>
          <w:szCs w:val="20"/>
        </w:rPr>
        <w:sectPr w:rsidR="00DF4FDF" w:rsidRPr="008150FC" w:rsidSect="006F31AC">
          <w:pgSz w:w="11910" w:h="16840"/>
          <w:pgMar w:top="1160" w:right="820" w:bottom="1880" w:left="1540" w:header="0" w:footer="1687" w:gutter="0"/>
          <w:pgBorders w:offsetFrom="page">
            <w:top w:val="single" w:sz="4" w:space="24" w:color="auto"/>
            <w:left w:val="single" w:sz="4" w:space="24" w:color="auto"/>
            <w:bottom w:val="single" w:sz="4" w:space="24" w:color="auto"/>
            <w:right w:val="single" w:sz="4" w:space="24" w:color="auto"/>
          </w:pgBorders>
          <w:cols w:space="720"/>
        </w:sectPr>
      </w:pPr>
    </w:p>
    <w:p w:rsidR="001678AC" w:rsidRPr="008150FC" w:rsidRDefault="001678AC">
      <w:pPr>
        <w:pStyle w:val="BodyText"/>
        <w:rPr>
          <w:rFonts w:ascii="Book Antiqua" w:hAnsi="Book Antiqua"/>
          <w:sz w:val="20"/>
          <w:szCs w:val="20"/>
        </w:rPr>
      </w:pPr>
    </w:p>
    <w:p w:rsidR="001678AC" w:rsidRPr="008150FC" w:rsidRDefault="003B71D5">
      <w:pPr>
        <w:pStyle w:val="Heading1"/>
        <w:numPr>
          <w:ilvl w:val="0"/>
          <w:numId w:val="1"/>
        </w:numPr>
        <w:tabs>
          <w:tab w:val="left" w:pos="563"/>
        </w:tabs>
        <w:ind w:left="562" w:hanging="352"/>
        <w:rPr>
          <w:rFonts w:ascii="Book Antiqua" w:hAnsi="Book Antiqua"/>
          <w:sz w:val="20"/>
          <w:szCs w:val="20"/>
          <w:u w:val="single"/>
        </w:rPr>
      </w:pPr>
      <w:r w:rsidRPr="008150FC">
        <w:rPr>
          <w:rFonts w:ascii="Book Antiqua" w:hAnsi="Book Antiqua"/>
          <w:sz w:val="20"/>
          <w:szCs w:val="20"/>
          <w:u w:val="single"/>
        </w:rPr>
        <w:t>Amendment:</w:t>
      </w:r>
    </w:p>
    <w:p w:rsidR="001678AC" w:rsidRPr="008150FC" w:rsidRDefault="003B71D5">
      <w:pPr>
        <w:pStyle w:val="BodyText"/>
        <w:spacing w:before="185" w:line="268" w:lineRule="auto"/>
        <w:ind w:left="473" w:right="474" w:firstLine="38"/>
        <w:jc w:val="both"/>
        <w:rPr>
          <w:rFonts w:ascii="Book Antiqua" w:hAnsi="Book Antiqua"/>
          <w:sz w:val="20"/>
          <w:szCs w:val="20"/>
        </w:rPr>
      </w:pPr>
      <w:r w:rsidRPr="008150FC">
        <w:rPr>
          <w:rFonts w:ascii="Book Antiqua" w:hAnsi="Book Antiqua"/>
          <w:sz w:val="20"/>
          <w:szCs w:val="20"/>
        </w:rPr>
        <w:t xml:space="preserve">The Board of Directors may review and amend the abovementioned policy from time </w:t>
      </w:r>
      <w:r w:rsidR="001A4768" w:rsidRPr="008150FC">
        <w:rPr>
          <w:rFonts w:ascii="Book Antiqua" w:hAnsi="Book Antiqua"/>
          <w:sz w:val="20"/>
          <w:szCs w:val="20"/>
        </w:rPr>
        <w:t>to time</w:t>
      </w:r>
      <w:r w:rsidRPr="008150FC">
        <w:rPr>
          <w:rFonts w:ascii="Book Antiqua" w:hAnsi="Book Antiqua"/>
          <w:sz w:val="20"/>
          <w:szCs w:val="20"/>
        </w:rPr>
        <w:t xml:space="preserve"> in accordance with the applicable laws. </w:t>
      </w:r>
      <w:r w:rsidRPr="008150FC">
        <w:rPr>
          <w:rFonts w:ascii="Book Antiqua" w:hAnsi="Book Antiqua"/>
          <w:spacing w:val="2"/>
          <w:sz w:val="20"/>
          <w:szCs w:val="20"/>
        </w:rPr>
        <w:t xml:space="preserve">Any </w:t>
      </w:r>
      <w:r w:rsidRPr="008150FC">
        <w:rPr>
          <w:rFonts w:ascii="Book Antiqua" w:hAnsi="Book Antiqua"/>
          <w:sz w:val="20"/>
          <w:szCs w:val="20"/>
        </w:rPr>
        <w:t xml:space="preserve">subsequent notification, circular, guidelines or amendments under Listing Regulation and other applicable laws as may be issued from time to time shall be mutatis mutandis applicable without further </w:t>
      </w:r>
      <w:r w:rsidR="001A4768" w:rsidRPr="008150FC">
        <w:rPr>
          <w:rFonts w:ascii="Book Antiqua" w:hAnsi="Book Antiqua"/>
          <w:sz w:val="20"/>
          <w:szCs w:val="20"/>
        </w:rPr>
        <w:t>modification or</w:t>
      </w:r>
      <w:r w:rsidRPr="008150FC">
        <w:rPr>
          <w:rFonts w:ascii="Book Antiqua" w:hAnsi="Book Antiqua"/>
          <w:sz w:val="20"/>
          <w:szCs w:val="20"/>
        </w:rPr>
        <w:t xml:space="preserve"> amendment in this</w:t>
      </w:r>
      <w:r w:rsidRPr="008150FC">
        <w:rPr>
          <w:rFonts w:ascii="Book Antiqua" w:hAnsi="Book Antiqua"/>
          <w:spacing w:val="5"/>
          <w:sz w:val="20"/>
          <w:szCs w:val="20"/>
        </w:rPr>
        <w:t xml:space="preserve"> </w:t>
      </w:r>
      <w:r w:rsidRPr="008150FC">
        <w:rPr>
          <w:rFonts w:ascii="Book Antiqua" w:hAnsi="Book Antiqua"/>
          <w:sz w:val="20"/>
          <w:szCs w:val="20"/>
        </w:rPr>
        <w:t>Policy.</w:t>
      </w:r>
    </w:p>
    <w:p w:rsidR="001678AC" w:rsidRPr="008150FC" w:rsidRDefault="001678AC">
      <w:pPr>
        <w:pStyle w:val="BodyText"/>
        <w:rPr>
          <w:rFonts w:ascii="Book Antiqua" w:hAnsi="Book Antiqua"/>
          <w:sz w:val="20"/>
          <w:szCs w:val="20"/>
        </w:rPr>
      </w:pPr>
    </w:p>
    <w:p w:rsidR="001678AC" w:rsidRPr="008150FC" w:rsidRDefault="009504B4">
      <w:pPr>
        <w:pStyle w:val="BodyText"/>
        <w:spacing w:before="9"/>
        <w:rPr>
          <w:rFonts w:ascii="Book Antiqua" w:hAnsi="Book Antiqua"/>
          <w:sz w:val="20"/>
          <w:szCs w:val="20"/>
        </w:rPr>
      </w:pPr>
      <w:r>
        <w:rPr>
          <w:rFonts w:ascii="Book Antiqua" w:hAnsi="Book Antiqua"/>
          <w:sz w:val="20"/>
          <w:szCs w:val="20"/>
        </w:rPr>
        <w:pict>
          <v:line id="_x0000_s1026" style="position:absolute;z-index:-251658752;mso-wrap-distance-left:0;mso-wrap-distance-right:0;mso-position-horizontal-relative:page" from="99.25pt,13pt" to="531.95pt,13pt" strokeweight=".48pt">
            <w10:wrap type="topAndBottom" anchorx="page"/>
          </v:line>
        </w:pict>
      </w:r>
    </w:p>
    <w:p w:rsidR="001678AC" w:rsidRPr="008150FC" w:rsidRDefault="001678AC">
      <w:pPr>
        <w:pStyle w:val="BodyText"/>
        <w:rPr>
          <w:rFonts w:ascii="Book Antiqua" w:hAnsi="Book Antiqua"/>
          <w:sz w:val="20"/>
          <w:szCs w:val="20"/>
        </w:rPr>
      </w:pPr>
    </w:p>
    <w:p w:rsidR="001678AC" w:rsidRPr="008150FC" w:rsidRDefault="001678AC">
      <w:pPr>
        <w:pStyle w:val="BodyText"/>
        <w:spacing w:before="8"/>
        <w:rPr>
          <w:rFonts w:ascii="Book Antiqua" w:hAnsi="Book Antiqua"/>
          <w:sz w:val="20"/>
          <w:szCs w:val="20"/>
        </w:rPr>
      </w:pPr>
    </w:p>
    <w:p w:rsidR="001678AC" w:rsidRPr="008150FC" w:rsidRDefault="003B71D5">
      <w:pPr>
        <w:ind w:left="454"/>
        <w:rPr>
          <w:rFonts w:ascii="Book Antiqua" w:hAnsi="Book Antiqua"/>
          <w:b/>
          <w:sz w:val="20"/>
          <w:szCs w:val="20"/>
        </w:rPr>
      </w:pPr>
      <w:r w:rsidRPr="008150FC">
        <w:rPr>
          <w:rFonts w:ascii="Book Antiqua" w:hAnsi="Book Antiqua"/>
          <w:sz w:val="20"/>
          <w:szCs w:val="20"/>
        </w:rPr>
        <w:t xml:space="preserve">Effective Date: </w:t>
      </w:r>
      <w:r w:rsidR="009504B4">
        <w:rPr>
          <w:rFonts w:ascii="Book Antiqua" w:hAnsi="Book Antiqua"/>
          <w:sz w:val="20"/>
          <w:szCs w:val="20"/>
        </w:rPr>
        <w:t>20.07.2024</w:t>
      </w:r>
    </w:p>
    <w:p w:rsidR="001678AC" w:rsidRPr="008150FC" w:rsidRDefault="001678AC">
      <w:pPr>
        <w:pStyle w:val="BodyText"/>
        <w:spacing w:before="9"/>
        <w:rPr>
          <w:rFonts w:ascii="Book Antiqua" w:hAnsi="Book Antiqua"/>
          <w:b/>
          <w:sz w:val="20"/>
          <w:szCs w:val="20"/>
        </w:rPr>
      </w:pPr>
    </w:p>
    <w:p w:rsidR="001678AC" w:rsidRPr="008150FC" w:rsidRDefault="003B71D5">
      <w:pPr>
        <w:ind w:left="454"/>
        <w:rPr>
          <w:rFonts w:ascii="Book Antiqua" w:hAnsi="Book Antiqua"/>
          <w:b/>
          <w:sz w:val="20"/>
          <w:szCs w:val="20"/>
          <w:highlight w:val="yellow"/>
        </w:rPr>
      </w:pPr>
      <w:r w:rsidRPr="008150FC">
        <w:rPr>
          <w:rFonts w:ascii="Book Antiqua" w:hAnsi="Book Antiqua"/>
          <w:sz w:val="20"/>
          <w:szCs w:val="20"/>
        </w:rPr>
        <w:t xml:space="preserve">Date of the approval by the Board: </w:t>
      </w:r>
      <w:r w:rsidR="009504B4">
        <w:rPr>
          <w:rFonts w:ascii="Book Antiqua" w:hAnsi="Book Antiqua"/>
          <w:sz w:val="20"/>
          <w:szCs w:val="20"/>
        </w:rPr>
        <w:t>20.07.2024</w:t>
      </w:r>
      <w:bookmarkStart w:id="0" w:name="_GoBack"/>
      <w:bookmarkEnd w:id="0"/>
    </w:p>
    <w:p w:rsidR="001678AC" w:rsidRPr="008150FC" w:rsidRDefault="001678AC">
      <w:pPr>
        <w:pStyle w:val="BodyText"/>
        <w:spacing w:before="8"/>
        <w:rPr>
          <w:rFonts w:ascii="Book Antiqua" w:hAnsi="Book Antiqua"/>
          <w:b/>
          <w:sz w:val="20"/>
          <w:szCs w:val="20"/>
          <w:highlight w:val="yellow"/>
        </w:rPr>
      </w:pPr>
    </w:p>
    <w:p w:rsidR="001678AC" w:rsidRPr="008150FC" w:rsidRDefault="001678AC">
      <w:pPr>
        <w:pStyle w:val="BodyText"/>
        <w:spacing w:before="1"/>
        <w:ind w:left="454"/>
        <w:rPr>
          <w:rFonts w:ascii="Book Antiqua" w:hAnsi="Book Antiqua"/>
          <w:b/>
          <w:sz w:val="20"/>
          <w:szCs w:val="20"/>
        </w:rPr>
      </w:pPr>
    </w:p>
    <w:p w:rsidR="001678AC" w:rsidRPr="008150FC" w:rsidRDefault="001678AC">
      <w:pPr>
        <w:pStyle w:val="BodyText"/>
        <w:rPr>
          <w:rFonts w:ascii="Book Antiqua" w:hAnsi="Book Antiqua"/>
          <w:b/>
          <w:sz w:val="20"/>
          <w:szCs w:val="20"/>
        </w:rPr>
      </w:pPr>
    </w:p>
    <w:p w:rsidR="001678AC" w:rsidRPr="008150FC" w:rsidRDefault="001678AC">
      <w:pPr>
        <w:pStyle w:val="BodyText"/>
        <w:rPr>
          <w:rFonts w:ascii="Book Antiqua" w:hAnsi="Book Antiqua"/>
          <w:b/>
          <w:sz w:val="20"/>
          <w:szCs w:val="20"/>
        </w:rPr>
      </w:pPr>
    </w:p>
    <w:p w:rsidR="001678AC" w:rsidRPr="008150FC" w:rsidRDefault="003B71D5">
      <w:pPr>
        <w:pStyle w:val="Heading1"/>
        <w:spacing w:before="217"/>
        <w:ind w:left="464" w:firstLine="0"/>
        <w:rPr>
          <w:rFonts w:ascii="Book Antiqua" w:hAnsi="Book Antiqua"/>
          <w:sz w:val="20"/>
          <w:szCs w:val="20"/>
        </w:rPr>
      </w:pPr>
      <w:r w:rsidRPr="008150FC">
        <w:rPr>
          <w:rFonts w:ascii="Book Antiqua" w:hAnsi="Book Antiqua"/>
          <w:sz w:val="20"/>
          <w:szCs w:val="20"/>
        </w:rPr>
        <w:t>Sd-</w:t>
      </w:r>
    </w:p>
    <w:p w:rsidR="001678AC" w:rsidRPr="008150FC" w:rsidRDefault="003B71D5">
      <w:pPr>
        <w:spacing w:before="4"/>
        <w:ind w:left="464"/>
        <w:rPr>
          <w:rFonts w:ascii="Book Antiqua" w:hAnsi="Book Antiqua"/>
          <w:b/>
          <w:sz w:val="20"/>
          <w:szCs w:val="20"/>
        </w:rPr>
      </w:pPr>
      <w:r w:rsidRPr="008150FC">
        <w:rPr>
          <w:rFonts w:ascii="Book Antiqua" w:hAnsi="Book Antiqua"/>
          <w:b/>
          <w:sz w:val="20"/>
          <w:szCs w:val="20"/>
        </w:rPr>
        <w:t>Chairman’s Signature</w:t>
      </w:r>
    </w:p>
    <w:sectPr w:rsidR="001678AC" w:rsidRPr="008150FC" w:rsidSect="006F31AC">
      <w:pgSz w:w="11910" w:h="16840"/>
      <w:pgMar w:top="1160" w:right="820" w:bottom="1880" w:left="1540" w:header="0" w:footer="1687"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AB9" w:rsidRDefault="008E5AB9" w:rsidP="001678AC">
      <w:r>
        <w:separator/>
      </w:r>
    </w:p>
  </w:endnote>
  <w:endnote w:type="continuationSeparator" w:id="0">
    <w:p w:rsidR="008E5AB9" w:rsidRDefault="008E5AB9" w:rsidP="0016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8AC" w:rsidRDefault="009504B4">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23.1pt;margin-top:746.45pt;width:9.45pt;height:12.9pt;z-index:-251658752;mso-position-horizontal-relative:page;mso-position-vertical-relative:page" filled="f" stroked="f">
          <v:textbox style="mso-next-textbox:#_x0000_s2049" inset="0,0,0,0">
            <w:txbxContent>
              <w:p w:rsidR="001678AC" w:rsidRDefault="00EA27E4">
                <w:pPr>
                  <w:spacing w:line="238" w:lineRule="exact"/>
                  <w:ind w:left="40"/>
                  <w:rPr>
                    <w:rFonts w:ascii="Calibri"/>
                    <w:sz w:val="21"/>
                  </w:rPr>
                </w:pPr>
                <w:r>
                  <w:fldChar w:fldCharType="begin"/>
                </w:r>
                <w:r w:rsidR="003B71D5">
                  <w:rPr>
                    <w:rFonts w:ascii="Calibri"/>
                    <w:w w:val="102"/>
                    <w:sz w:val="21"/>
                  </w:rPr>
                  <w:instrText xml:space="preserve"> PAGE </w:instrText>
                </w:r>
                <w:r>
                  <w:fldChar w:fldCharType="separate"/>
                </w:r>
                <w:r w:rsidR="009504B4">
                  <w:rPr>
                    <w:rFonts w:ascii="Calibri"/>
                    <w:noProof/>
                    <w:w w:val="102"/>
                    <w:sz w:val="21"/>
                  </w:rPr>
                  <w:t>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AB9" w:rsidRDefault="008E5AB9" w:rsidP="001678AC">
      <w:r>
        <w:separator/>
      </w:r>
    </w:p>
  </w:footnote>
  <w:footnote w:type="continuationSeparator" w:id="0">
    <w:p w:rsidR="008E5AB9" w:rsidRDefault="008E5AB9" w:rsidP="001678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96AF0"/>
    <w:multiLevelType w:val="hybridMultilevel"/>
    <w:tmpl w:val="851AD974"/>
    <w:lvl w:ilvl="0" w:tplc="C480D410">
      <w:start w:val="1"/>
      <w:numFmt w:val="decimal"/>
      <w:lvlText w:val="%1."/>
      <w:lvlJc w:val="left"/>
      <w:pPr>
        <w:ind w:left="564" w:hanging="351"/>
      </w:pPr>
      <w:rPr>
        <w:rFonts w:ascii="Calibri" w:eastAsia="Calibri" w:hAnsi="Calibri" w:cs="Calibri" w:hint="default"/>
        <w:b/>
        <w:bCs/>
        <w:w w:val="99"/>
        <w:sz w:val="22"/>
        <w:szCs w:val="22"/>
        <w:lang w:val="en-US" w:eastAsia="en-US" w:bidi="en-US"/>
      </w:rPr>
    </w:lvl>
    <w:lvl w:ilvl="1" w:tplc="26DC4ACC">
      <w:start w:val="1"/>
      <w:numFmt w:val="lowerLetter"/>
      <w:lvlText w:val="(%2)"/>
      <w:lvlJc w:val="left"/>
      <w:pPr>
        <w:ind w:left="912" w:hanging="351"/>
      </w:pPr>
      <w:rPr>
        <w:rFonts w:hint="default"/>
        <w:spacing w:val="-1"/>
        <w:w w:val="99"/>
        <w:lang w:val="en-US" w:eastAsia="en-US" w:bidi="en-US"/>
      </w:rPr>
    </w:lvl>
    <w:lvl w:ilvl="2" w:tplc="C4F471AE">
      <w:start w:val="1"/>
      <w:numFmt w:val="lowerRoman"/>
      <w:lvlText w:val="(%3)"/>
      <w:lvlJc w:val="left"/>
      <w:pPr>
        <w:ind w:left="1265" w:hanging="351"/>
      </w:pPr>
      <w:rPr>
        <w:rFonts w:ascii="Times New Roman" w:eastAsia="Times New Roman" w:hAnsi="Times New Roman" w:cs="Times New Roman" w:hint="default"/>
        <w:spacing w:val="-1"/>
        <w:w w:val="101"/>
        <w:sz w:val="23"/>
        <w:szCs w:val="23"/>
        <w:lang w:val="en-US" w:eastAsia="en-US" w:bidi="en-US"/>
      </w:rPr>
    </w:lvl>
    <w:lvl w:ilvl="3" w:tplc="B4B06848">
      <w:numFmt w:val="bullet"/>
      <w:lvlText w:val="•"/>
      <w:lvlJc w:val="left"/>
      <w:pPr>
        <w:ind w:left="2295" w:hanging="351"/>
      </w:pPr>
      <w:rPr>
        <w:rFonts w:hint="default"/>
        <w:lang w:val="en-US" w:eastAsia="en-US" w:bidi="en-US"/>
      </w:rPr>
    </w:lvl>
    <w:lvl w:ilvl="4" w:tplc="26F6F1C4">
      <w:numFmt w:val="bullet"/>
      <w:lvlText w:val="•"/>
      <w:lvlJc w:val="left"/>
      <w:pPr>
        <w:ind w:left="3331" w:hanging="351"/>
      </w:pPr>
      <w:rPr>
        <w:rFonts w:hint="default"/>
        <w:lang w:val="en-US" w:eastAsia="en-US" w:bidi="en-US"/>
      </w:rPr>
    </w:lvl>
    <w:lvl w:ilvl="5" w:tplc="9D80DA2A">
      <w:numFmt w:val="bullet"/>
      <w:lvlText w:val="•"/>
      <w:lvlJc w:val="left"/>
      <w:pPr>
        <w:ind w:left="4367" w:hanging="351"/>
      </w:pPr>
      <w:rPr>
        <w:rFonts w:hint="default"/>
        <w:lang w:val="en-US" w:eastAsia="en-US" w:bidi="en-US"/>
      </w:rPr>
    </w:lvl>
    <w:lvl w:ilvl="6" w:tplc="2C44AC9A">
      <w:numFmt w:val="bullet"/>
      <w:lvlText w:val="•"/>
      <w:lvlJc w:val="left"/>
      <w:pPr>
        <w:ind w:left="5403" w:hanging="351"/>
      </w:pPr>
      <w:rPr>
        <w:rFonts w:hint="default"/>
        <w:lang w:val="en-US" w:eastAsia="en-US" w:bidi="en-US"/>
      </w:rPr>
    </w:lvl>
    <w:lvl w:ilvl="7" w:tplc="3EDABF04">
      <w:numFmt w:val="bullet"/>
      <w:lvlText w:val="•"/>
      <w:lvlJc w:val="left"/>
      <w:pPr>
        <w:ind w:left="6439" w:hanging="351"/>
      </w:pPr>
      <w:rPr>
        <w:rFonts w:hint="default"/>
        <w:lang w:val="en-US" w:eastAsia="en-US" w:bidi="en-US"/>
      </w:rPr>
    </w:lvl>
    <w:lvl w:ilvl="8" w:tplc="8E886C4A">
      <w:numFmt w:val="bullet"/>
      <w:lvlText w:val="•"/>
      <w:lvlJc w:val="left"/>
      <w:pPr>
        <w:ind w:left="7474" w:hanging="35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678AC"/>
    <w:rsid w:val="0011775F"/>
    <w:rsid w:val="00155C7F"/>
    <w:rsid w:val="001678AC"/>
    <w:rsid w:val="001A4768"/>
    <w:rsid w:val="001B1307"/>
    <w:rsid w:val="002508E5"/>
    <w:rsid w:val="003B71D5"/>
    <w:rsid w:val="00496B6D"/>
    <w:rsid w:val="00497281"/>
    <w:rsid w:val="00596660"/>
    <w:rsid w:val="005B7224"/>
    <w:rsid w:val="006B526E"/>
    <w:rsid w:val="006F31AC"/>
    <w:rsid w:val="00784D20"/>
    <w:rsid w:val="008150FC"/>
    <w:rsid w:val="0082696A"/>
    <w:rsid w:val="008E5AB9"/>
    <w:rsid w:val="009504B4"/>
    <w:rsid w:val="00B84DD3"/>
    <w:rsid w:val="00D03130"/>
    <w:rsid w:val="00DD55C2"/>
    <w:rsid w:val="00DF4FDF"/>
    <w:rsid w:val="00E67730"/>
    <w:rsid w:val="00E81900"/>
    <w:rsid w:val="00EA2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678AC"/>
    <w:rPr>
      <w:rFonts w:ascii="Times New Roman" w:eastAsia="Times New Roman" w:hAnsi="Times New Roman" w:cs="Times New Roman"/>
      <w:lang w:bidi="en-US"/>
    </w:rPr>
  </w:style>
  <w:style w:type="paragraph" w:styleId="Heading1">
    <w:name w:val="heading 1"/>
    <w:basedOn w:val="Normal"/>
    <w:uiPriority w:val="1"/>
    <w:qFormat/>
    <w:rsid w:val="001678AC"/>
    <w:pPr>
      <w:spacing w:before="94"/>
      <w:ind w:left="562" w:hanging="352"/>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678AC"/>
    <w:rPr>
      <w:sz w:val="23"/>
      <w:szCs w:val="23"/>
    </w:rPr>
  </w:style>
  <w:style w:type="paragraph" w:styleId="ListParagraph">
    <w:name w:val="List Paragraph"/>
    <w:basedOn w:val="Normal"/>
    <w:uiPriority w:val="1"/>
    <w:qFormat/>
    <w:rsid w:val="001678AC"/>
    <w:pPr>
      <w:ind w:left="912" w:hanging="351"/>
      <w:jc w:val="both"/>
    </w:pPr>
  </w:style>
  <w:style w:type="paragraph" w:customStyle="1" w:styleId="TableParagraph">
    <w:name w:val="Table Paragraph"/>
    <w:basedOn w:val="Normal"/>
    <w:uiPriority w:val="1"/>
    <w:qFormat/>
    <w:rsid w:val="001678AC"/>
  </w:style>
  <w:style w:type="paragraph" w:styleId="BalloonText">
    <w:name w:val="Balloon Text"/>
    <w:basedOn w:val="Normal"/>
    <w:link w:val="BalloonTextChar"/>
    <w:uiPriority w:val="99"/>
    <w:semiHidden/>
    <w:unhideWhenUsed/>
    <w:rsid w:val="00E81900"/>
    <w:rPr>
      <w:rFonts w:ascii="Tahoma" w:hAnsi="Tahoma" w:cs="Tahoma"/>
      <w:sz w:val="16"/>
      <w:szCs w:val="16"/>
    </w:rPr>
  </w:style>
  <w:style w:type="character" w:customStyle="1" w:styleId="BalloonTextChar">
    <w:name w:val="Balloon Text Char"/>
    <w:basedOn w:val="DefaultParagraphFont"/>
    <w:link w:val="BalloonText"/>
    <w:uiPriority w:val="99"/>
    <w:semiHidden/>
    <w:rsid w:val="00E81900"/>
    <w:rPr>
      <w:rFonts w:ascii="Tahoma" w:eastAsia="Times New Roman" w:hAnsi="Tahoma" w:cs="Tahoma"/>
      <w:sz w:val="16"/>
      <w:szCs w:val="16"/>
      <w:lang w:bidi="en-US"/>
    </w:rPr>
  </w:style>
  <w:style w:type="character" w:styleId="Hyperlink">
    <w:name w:val="Hyperlink"/>
    <w:basedOn w:val="DefaultParagraphFont"/>
    <w:uiPriority w:val="99"/>
    <w:unhideWhenUsed/>
    <w:rsid w:val="00E81900"/>
    <w:rPr>
      <w:color w:val="0000FF" w:themeColor="hyperlink"/>
      <w:u w:val="single"/>
    </w:rPr>
  </w:style>
  <w:style w:type="paragraph" w:styleId="NoSpacing">
    <w:name w:val="No Spacing"/>
    <w:uiPriority w:val="1"/>
    <w:qFormat/>
    <w:rsid w:val="00E81900"/>
    <w:pPr>
      <w:widowControl/>
      <w:autoSpaceDE/>
      <w:autoSpaceDN/>
    </w:pPr>
    <w:rPr>
      <w:rFonts w:eastAsiaTheme="minorEastAsia"/>
      <w:lang w:val="en-IN" w:eastAsia="en-IN"/>
    </w:rPr>
  </w:style>
  <w:style w:type="paragraph" w:styleId="Header">
    <w:name w:val="header"/>
    <w:basedOn w:val="Normal"/>
    <w:link w:val="HeaderChar"/>
    <w:uiPriority w:val="99"/>
    <w:unhideWhenUsed/>
    <w:rsid w:val="008150FC"/>
    <w:pPr>
      <w:tabs>
        <w:tab w:val="center" w:pos="4513"/>
        <w:tab w:val="right" w:pos="9026"/>
      </w:tabs>
    </w:pPr>
  </w:style>
  <w:style w:type="character" w:customStyle="1" w:styleId="HeaderChar">
    <w:name w:val="Header Char"/>
    <w:basedOn w:val="DefaultParagraphFont"/>
    <w:link w:val="Header"/>
    <w:uiPriority w:val="99"/>
    <w:rsid w:val="008150FC"/>
    <w:rPr>
      <w:rFonts w:ascii="Times New Roman" w:eastAsia="Times New Roman" w:hAnsi="Times New Roman" w:cs="Times New Roman"/>
      <w:lang w:bidi="en-US"/>
    </w:rPr>
  </w:style>
  <w:style w:type="paragraph" w:styleId="Footer">
    <w:name w:val="footer"/>
    <w:basedOn w:val="Normal"/>
    <w:link w:val="FooterChar"/>
    <w:uiPriority w:val="99"/>
    <w:unhideWhenUsed/>
    <w:rsid w:val="008150FC"/>
    <w:pPr>
      <w:tabs>
        <w:tab w:val="center" w:pos="4513"/>
        <w:tab w:val="right" w:pos="9026"/>
      </w:tabs>
    </w:pPr>
  </w:style>
  <w:style w:type="character" w:customStyle="1" w:styleId="FooterChar">
    <w:name w:val="Footer Char"/>
    <w:basedOn w:val="DefaultParagraphFont"/>
    <w:link w:val="Footer"/>
    <w:uiPriority w:val="99"/>
    <w:rsid w:val="008150FC"/>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ayurgroups.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781</Words>
  <Characters>4453</Characters>
  <Application>Microsoft Office Word</Application>
  <DocSecurity>0</DocSecurity>
  <Lines>37</Lines>
  <Paragraphs>10</Paragraphs>
  <ScaleCrop>false</ScaleCrop>
  <Company/>
  <LinksUpToDate>false</LinksUpToDate>
  <CharactersWithSpaces>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Policy on determining Material Subsidiary</dc:title>
  <dc:creator>HG</dc:creator>
  <cp:lastModifiedBy>Suraj</cp:lastModifiedBy>
  <cp:revision>19</cp:revision>
  <dcterms:created xsi:type="dcterms:W3CDTF">2019-04-15T05:18:00Z</dcterms:created>
  <dcterms:modified xsi:type="dcterms:W3CDTF">2024-09-05T11:04:00Z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LastSaved">
    <vt:filetime>2019-04-15T00:00:00Z</vt:filetime>
  </property>
</Properties>
</file>