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A7B" w:rsidRDefault="00424A7B" w:rsidP="00424A7B"/>
    <w:p w:rsidR="00424A7B" w:rsidRDefault="00424A7B" w:rsidP="00424A7B"/>
    <w:p w:rsidR="00424A7B" w:rsidRDefault="00424A7B" w:rsidP="00424A7B">
      <w:pPr>
        <w:tabs>
          <w:tab w:val="left" w:pos="3356"/>
          <w:tab w:val="left" w:pos="4207"/>
        </w:tabs>
        <w:jc w:val="center"/>
      </w:pPr>
      <w:r>
        <w:rPr>
          <w:noProof/>
          <w:lang w:val="en-IN" w:eastAsia="en-IN" w:bidi="ar-SA"/>
        </w:rPr>
        <w:drawing>
          <wp:inline distT="0" distB="0" distL="0" distR="0" wp14:anchorId="3AB218F7" wp14:editId="5D748648">
            <wp:extent cx="3353957" cy="33355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UR LOGO.PNG"/>
                    <pic:cNvPicPr/>
                  </pic:nvPicPr>
                  <pic:blipFill>
                    <a:blip r:embed="rId6">
                      <a:extLst>
                        <a:ext uri="{28A0092B-C50C-407E-A947-70E740481C1C}">
                          <a14:useLocalDpi xmlns:a14="http://schemas.microsoft.com/office/drawing/2010/main" val="0"/>
                        </a:ext>
                      </a:extLst>
                    </a:blip>
                    <a:stretch>
                      <a:fillRect/>
                    </a:stretch>
                  </pic:blipFill>
                  <pic:spPr>
                    <a:xfrm>
                      <a:off x="0" y="0"/>
                      <a:ext cx="3353957" cy="3335529"/>
                    </a:xfrm>
                    <a:prstGeom prst="rect">
                      <a:avLst/>
                    </a:prstGeom>
                  </pic:spPr>
                </pic:pic>
              </a:graphicData>
            </a:graphic>
          </wp:inline>
        </w:drawing>
      </w:r>
    </w:p>
    <w:p w:rsidR="00424A7B" w:rsidRDefault="00424A7B" w:rsidP="00424A7B">
      <w:pPr>
        <w:jc w:val="center"/>
      </w:pPr>
    </w:p>
    <w:p w:rsidR="00424A7B" w:rsidRDefault="00424A7B" w:rsidP="00424A7B">
      <w:pPr>
        <w:jc w:val="center"/>
      </w:pPr>
    </w:p>
    <w:p w:rsidR="00424A7B" w:rsidRPr="00126F9B" w:rsidRDefault="00424A7B" w:rsidP="00424A7B">
      <w:pPr>
        <w:jc w:val="center"/>
        <w:rPr>
          <w:b/>
          <w:sz w:val="28"/>
          <w:szCs w:val="28"/>
          <w:u w:val="single"/>
        </w:rPr>
      </w:pPr>
      <w:r w:rsidRPr="00126F9B">
        <w:rPr>
          <w:b/>
          <w:sz w:val="28"/>
          <w:szCs w:val="28"/>
          <w:u w:val="single"/>
        </w:rPr>
        <w:t>MAYUR LEATHER PRODUCTS LIMITED</w:t>
      </w:r>
    </w:p>
    <w:p w:rsidR="00424A7B" w:rsidRDefault="00424A7B">
      <w:pPr>
        <w:rPr>
          <w:sz w:val="17"/>
          <w:szCs w:val="23"/>
        </w:rPr>
      </w:pPr>
    </w:p>
    <w:p w:rsidR="00D0617C" w:rsidRDefault="00D0617C">
      <w:pPr>
        <w:pStyle w:val="BodyText"/>
        <w:spacing w:before="1"/>
        <w:rPr>
          <w:sz w:val="17"/>
        </w:rPr>
      </w:pPr>
    </w:p>
    <w:p w:rsidR="00D0617C" w:rsidRDefault="00D0617C">
      <w:pPr>
        <w:pStyle w:val="BodyText"/>
        <w:ind w:left="4264"/>
        <w:rPr>
          <w:sz w:val="20"/>
        </w:rPr>
      </w:pPr>
    </w:p>
    <w:p w:rsidR="00424A7B" w:rsidRDefault="00424A7B">
      <w:pPr>
        <w:rPr>
          <w:rFonts w:asciiTheme="majorHAnsi" w:eastAsiaTheme="minorEastAsia" w:hAnsiTheme="majorHAnsi"/>
          <w:szCs w:val="24"/>
          <w:lang w:val="en-IN" w:eastAsia="en-IN" w:bidi="ar-SA"/>
        </w:rPr>
      </w:pPr>
      <w:r>
        <w:rPr>
          <w:rFonts w:asciiTheme="majorHAnsi" w:hAnsiTheme="majorHAnsi"/>
          <w:szCs w:val="24"/>
        </w:rPr>
        <w:br w:type="page"/>
      </w:r>
    </w:p>
    <w:p w:rsidR="00AF6EF8" w:rsidRDefault="00AF6EF8" w:rsidP="0084385E">
      <w:pPr>
        <w:pStyle w:val="NoSpacing"/>
        <w:pBdr>
          <w:bottom w:val="single" w:sz="4" w:space="1" w:color="auto"/>
        </w:pBdr>
        <w:jc w:val="center"/>
        <w:rPr>
          <w:rFonts w:asciiTheme="majorHAnsi" w:hAnsiTheme="majorHAnsi" w:cs="Times New Roman"/>
          <w:szCs w:val="24"/>
        </w:rPr>
      </w:pPr>
    </w:p>
    <w:p w:rsidR="00D0617C" w:rsidRDefault="00D0617C">
      <w:pPr>
        <w:pStyle w:val="BodyText"/>
        <w:spacing w:before="2"/>
        <w:rPr>
          <w:b/>
        </w:rPr>
      </w:pPr>
    </w:p>
    <w:p w:rsidR="00D0617C" w:rsidRPr="00DD3B94" w:rsidRDefault="00DD3B94">
      <w:pPr>
        <w:pStyle w:val="Heading1"/>
        <w:ind w:left="1061" w:firstLine="0"/>
        <w:rPr>
          <w:u w:val="single"/>
        </w:rPr>
      </w:pPr>
      <w:r w:rsidRPr="00DD3B94">
        <w:rPr>
          <w:u w:val="single"/>
        </w:rPr>
        <w:t>FAMILIARIZATION PROGRAMME FOR INDEPENDENT DIRECTORS</w:t>
      </w:r>
    </w:p>
    <w:p w:rsidR="00D0617C" w:rsidRDefault="00D0617C">
      <w:pPr>
        <w:pStyle w:val="BodyText"/>
        <w:spacing w:before="2"/>
        <w:rPr>
          <w:b/>
          <w:sz w:val="27"/>
        </w:rPr>
      </w:pPr>
    </w:p>
    <w:p w:rsidR="00D0617C" w:rsidRDefault="00DD3B94">
      <w:pPr>
        <w:pStyle w:val="ListParagraph"/>
        <w:numPr>
          <w:ilvl w:val="0"/>
          <w:numId w:val="1"/>
        </w:numPr>
        <w:tabs>
          <w:tab w:val="left" w:pos="555"/>
        </w:tabs>
        <w:spacing w:before="1"/>
        <w:ind w:hanging="352"/>
        <w:jc w:val="left"/>
        <w:rPr>
          <w:b/>
          <w:sz w:val="23"/>
        </w:rPr>
      </w:pPr>
      <w:r>
        <w:rPr>
          <w:b/>
          <w:sz w:val="23"/>
        </w:rPr>
        <w:t>Preamble</w:t>
      </w:r>
      <w:r>
        <w:rPr>
          <w:b/>
          <w:spacing w:val="-3"/>
          <w:sz w:val="23"/>
        </w:rPr>
        <w:t xml:space="preserve"> </w:t>
      </w:r>
      <w:r>
        <w:rPr>
          <w:b/>
          <w:sz w:val="23"/>
        </w:rPr>
        <w:t>:</w:t>
      </w:r>
    </w:p>
    <w:p w:rsidR="00545044" w:rsidRDefault="00DD3B94" w:rsidP="0076493E">
      <w:pPr>
        <w:pStyle w:val="BodyText"/>
        <w:spacing w:before="163" w:line="264" w:lineRule="auto"/>
        <w:ind w:left="904" w:right="228"/>
        <w:jc w:val="both"/>
      </w:pPr>
      <w:r>
        <w:t xml:space="preserve">Pursuant to regulation 25(7) of the Securities and Exchange Board of India (Listing Obligations and Disclosure Requirements) Regulations 2015, </w:t>
      </w:r>
      <w:r w:rsidR="00014C46">
        <w:t>Schedule IV to the Companies Act, 2013 (“hereinafter referred as Applicable laws”), the Company shall familiarize the Independent Directors with the Company, their roles, rights, responsibilities in the Company, nature of the industry in which the Company operates, business model of the Company, etc., through various programmes.</w:t>
      </w:r>
    </w:p>
    <w:p w:rsidR="00D0617C" w:rsidRPr="00545044" w:rsidRDefault="00545044" w:rsidP="00545044">
      <w:pPr>
        <w:pStyle w:val="BodyText"/>
        <w:numPr>
          <w:ilvl w:val="0"/>
          <w:numId w:val="1"/>
        </w:numPr>
        <w:spacing w:before="163" w:line="264" w:lineRule="auto"/>
        <w:ind w:right="228"/>
        <w:jc w:val="both"/>
        <w:rPr>
          <w:b/>
        </w:rPr>
      </w:pPr>
      <w:r>
        <w:t xml:space="preserve"> </w:t>
      </w:r>
      <w:r w:rsidR="00DD3B94" w:rsidRPr="00545044">
        <w:rPr>
          <w:b/>
        </w:rPr>
        <w:t>Objective:</w:t>
      </w:r>
    </w:p>
    <w:p w:rsidR="00545044" w:rsidRDefault="00DD3B94">
      <w:pPr>
        <w:pStyle w:val="BodyText"/>
        <w:spacing w:before="163" w:line="264" w:lineRule="auto"/>
        <w:ind w:left="904" w:right="231"/>
        <w:jc w:val="both"/>
      </w:pPr>
      <w:r>
        <w:t xml:space="preserve">The Program aims to provide insight into the Company to enable the Independent Directors to understand their role, responsibilities, rights in the Company, </w:t>
      </w:r>
      <w:r w:rsidR="00545044">
        <w:t xml:space="preserve"> along with the business model, the operational and financial performance of the Company. </w:t>
      </w:r>
    </w:p>
    <w:p w:rsidR="00D0617C" w:rsidRDefault="00545044">
      <w:pPr>
        <w:pStyle w:val="BodyText"/>
        <w:spacing w:before="163" w:line="264" w:lineRule="auto"/>
        <w:ind w:left="904" w:right="231"/>
        <w:jc w:val="both"/>
      </w:pPr>
      <w:r>
        <w:t>Also, to update the Independent Directors on a continuous basis on significant developments in the Industry or regulatory changes affecting the Company, so as to enable them to take well informed decisions in a timely manner.</w:t>
      </w:r>
      <w:r w:rsidR="00DD3B94">
        <w:t>.</w:t>
      </w:r>
    </w:p>
    <w:p w:rsidR="00D0617C" w:rsidRDefault="00DD3B94">
      <w:pPr>
        <w:pStyle w:val="Heading1"/>
        <w:numPr>
          <w:ilvl w:val="0"/>
          <w:numId w:val="1"/>
        </w:numPr>
        <w:tabs>
          <w:tab w:val="left" w:pos="555"/>
        </w:tabs>
        <w:spacing w:before="159"/>
        <w:ind w:hanging="352"/>
        <w:jc w:val="left"/>
      </w:pPr>
      <w:r>
        <w:t>Overview of Familiarization Process:</w:t>
      </w:r>
    </w:p>
    <w:p w:rsidR="00D0617C" w:rsidRDefault="00DD3B94">
      <w:pPr>
        <w:pStyle w:val="ListParagraph"/>
        <w:numPr>
          <w:ilvl w:val="1"/>
          <w:numId w:val="1"/>
        </w:numPr>
        <w:tabs>
          <w:tab w:val="left" w:pos="1256"/>
        </w:tabs>
        <w:spacing w:before="163" w:line="259" w:lineRule="auto"/>
        <w:ind w:right="236"/>
        <w:jc w:val="both"/>
        <w:rPr>
          <w:sz w:val="23"/>
        </w:rPr>
      </w:pPr>
      <w:r>
        <w:rPr>
          <w:sz w:val="23"/>
        </w:rPr>
        <w:t>The Company conducts programs/presentations whenever new Independent Director  is appointed on the Board. Such programs/presentations provide an opportunity to the Independent Directors to interact with the Senior Management of the Company and help them to understand the Company’s strategies, operations, products, organization structure, market and other relevant areas</w:t>
      </w:r>
      <w:r>
        <w:rPr>
          <w:spacing w:val="4"/>
          <w:sz w:val="23"/>
        </w:rPr>
        <w:t xml:space="preserve"> </w:t>
      </w:r>
      <w:r>
        <w:rPr>
          <w:sz w:val="23"/>
        </w:rPr>
        <w:t>etc.</w:t>
      </w:r>
    </w:p>
    <w:p w:rsidR="00D0617C" w:rsidRDefault="00DD3B94">
      <w:pPr>
        <w:pStyle w:val="ListParagraph"/>
        <w:numPr>
          <w:ilvl w:val="1"/>
          <w:numId w:val="1"/>
        </w:numPr>
        <w:tabs>
          <w:tab w:val="left" w:pos="1256"/>
        </w:tabs>
        <w:spacing w:before="160" w:line="256" w:lineRule="auto"/>
        <w:ind w:right="236"/>
        <w:jc w:val="both"/>
        <w:rPr>
          <w:sz w:val="23"/>
        </w:rPr>
      </w:pPr>
      <w:r>
        <w:rPr>
          <w:sz w:val="23"/>
        </w:rPr>
        <w:t xml:space="preserve">New Independent Directors shall be provided with the copy of Latest Annual Report, Code of Conduct, </w:t>
      </w:r>
      <w:r w:rsidR="0006576D">
        <w:rPr>
          <w:sz w:val="23"/>
        </w:rPr>
        <w:t>and Memorandum</w:t>
      </w:r>
      <w:r>
        <w:rPr>
          <w:sz w:val="23"/>
        </w:rPr>
        <w:t xml:space="preserve"> &amp; Articles of Association of the Company and Code of Conduct for Prevention of Insider</w:t>
      </w:r>
      <w:r>
        <w:rPr>
          <w:spacing w:val="-10"/>
          <w:sz w:val="23"/>
        </w:rPr>
        <w:t xml:space="preserve"> </w:t>
      </w:r>
      <w:r>
        <w:rPr>
          <w:sz w:val="23"/>
        </w:rPr>
        <w:t>Trading.</w:t>
      </w:r>
    </w:p>
    <w:p w:rsidR="00D0617C" w:rsidRDefault="00DD3B94">
      <w:pPr>
        <w:pStyle w:val="ListParagraph"/>
        <w:numPr>
          <w:ilvl w:val="1"/>
          <w:numId w:val="1"/>
        </w:numPr>
        <w:tabs>
          <w:tab w:val="left" w:pos="1256"/>
        </w:tabs>
        <w:spacing w:before="161" w:line="261" w:lineRule="auto"/>
        <w:ind w:right="232"/>
        <w:jc w:val="both"/>
        <w:rPr>
          <w:sz w:val="23"/>
        </w:rPr>
      </w:pPr>
      <w:r>
        <w:rPr>
          <w:sz w:val="23"/>
        </w:rPr>
        <w:t>New Independent Directors shall be made aware of their role, rights and responsibilities at the time of their appointment or reappointment though a formal appointment letter which also specifies the various terms and conditions of their engagement. Also, they are updated on amendments to statutes, introduction of new laws, Company policies and codes, etc. from time to time.</w:t>
      </w:r>
    </w:p>
    <w:p w:rsidR="00D0617C" w:rsidRDefault="00DD3B94">
      <w:pPr>
        <w:pStyle w:val="ListParagraph"/>
        <w:numPr>
          <w:ilvl w:val="1"/>
          <w:numId w:val="1"/>
        </w:numPr>
        <w:tabs>
          <w:tab w:val="left" w:pos="1256"/>
        </w:tabs>
        <w:spacing w:before="91" w:line="256" w:lineRule="auto"/>
        <w:ind w:right="237"/>
        <w:jc w:val="both"/>
        <w:rPr>
          <w:sz w:val="23"/>
        </w:rPr>
      </w:pPr>
      <w:r>
        <w:rPr>
          <w:sz w:val="23"/>
        </w:rPr>
        <w:t>Regular updates on the key developments occurring in the Company are informed to Independent Directors from time to</w:t>
      </w:r>
      <w:r>
        <w:rPr>
          <w:spacing w:val="5"/>
          <w:sz w:val="23"/>
        </w:rPr>
        <w:t xml:space="preserve"> </w:t>
      </w:r>
      <w:r>
        <w:rPr>
          <w:sz w:val="23"/>
        </w:rPr>
        <w:t>time.</w:t>
      </w:r>
    </w:p>
    <w:p w:rsidR="00D0617C" w:rsidRDefault="00D0617C">
      <w:pPr>
        <w:spacing w:line="256" w:lineRule="auto"/>
        <w:jc w:val="both"/>
        <w:rPr>
          <w:sz w:val="23"/>
        </w:rPr>
        <w:sectPr w:rsidR="00D0617C" w:rsidSect="00424A7B">
          <w:type w:val="continuous"/>
          <w:pgSz w:w="11910" w:h="16840"/>
          <w:pgMar w:top="1160" w:right="1160" w:bottom="280" w:left="120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D0617C" w:rsidRDefault="00D0617C">
      <w:pPr>
        <w:pStyle w:val="BodyText"/>
        <w:rPr>
          <w:sz w:val="20"/>
        </w:rPr>
      </w:pPr>
    </w:p>
    <w:p w:rsidR="00D0617C" w:rsidRDefault="00D0617C">
      <w:pPr>
        <w:pStyle w:val="BodyText"/>
        <w:rPr>
          <w:sz w:val="20"/>
        </w:rPr>
      </w:pPr>
    </w:p>
    <w:p w:rsidR="00D0617C" w:rsidRDefault="00D0617C">
      <w:pPr>
        <w:pStyle w:val="BodyText"/>
        <w:rPr>
          <w:sz w:val="20"/>
        </w:rPr>
      </w:pPr>
    </w:p>
    <w:p w:rsidR="00D0617C" w:rsidRDefault="0076493E">
      <w:pPr>
        <w:pStyle w:val="Heading1"/>
        <w:numPr>
          <w:ilvl w:val="0"/>
          <w:numId w:val="1"/>
        </w:numPr>
        <w:tabs>
          <w:tab w:val="left" w:pos="552"/>
        </w:tabs>
        <w:spacing w:before="211"/>
        <w:ind w:left="552"/>
        <w:jc w:val="left"/>
      </w:pPr>
      <w:r>
        <w:t xml:space="preserve">Programme and </w:t>
      </w:r>
      <w:r w:rsidR="00DD3B94">
        <w:t>Disclosure:</w:t>
      </w:r>
    </w:p>
    <w:p w:rsidR="0076493E" w:rsidRDefault="0076493E" w:rsidP="00F36784">
      <w:pPr>
        <w:pStyle w:val="BodyText"/>
        <w:tabs>
          <w:tab w:val="left" w:pos="1398"/>
          <w:tab w:val="left" w:pos="3047"/>
          <w:tab w:val="left" w:pos="4264"/>
          <w:tab w:val="left" w:pos="4927"/>
          <w:tab w:val="left" w:pos="5368"/>
          <w:tab w:val="left" w:pos="6458"/>
          <w:tab w:val="left" w:pos="6911"/>
          <w:tab w:val="left" w:pos="7419"/>
          <w:tab w:val="left" w:pos="8716"/>
        </w:tabs>
        <w:spacing w:before="168"/>
        <w:ind w:left="540"/>
      </w:pPr>
      <w:r>
        <w:t xml:space="preserve">1. The Programme will be conducted “as needed” basis during the year. </w:t>
      </w:r>
    </w:p>
    <w:p w:rsidR="00D0617C" w:rsidRDefault="0076493E" w:rsidP="00F36784">
      <w:pPr>
        <w:pStyle w:val="BodyText"/>
        <w:tabs>
          <w:tab w:val="left" w:pos="1398"/>
          <w:tab w:val="left" w:pos="3047"/>
          <w:tab w:val="left" w:pos="4264"/>
          <w:tab w:val="left" w:pos="4927"/>
          <w:tab w:val="left" w:pos="5368"/>
          <w:tab w:val="left" w:pos="6458"/>
          <w:tab w:val="left" w:pos="6911"/>
          <w:tab w:val="left" w:pos="7419"/>
          <w:tab w:val="left" w:pos="8716"/>
        </w:tabs>
        <w:spacing w:before="168"/>
        <w:ind w:left="540"/>
      </w:pPr>
      <w:r>
        <w:t>2. This policy shall be uploaded on the Company’s website and a web link for the same shall also be provided in the Annual Report of the Company.</w:t>
      </w:r>
      <w:r w:rsidR="00DD3B94">
        <w:t>.</w:t>
      </w:r>
    </w:p>
    <w:p w:rsidR="00D0617C" w:rsidRDefault="00D0617C">
      <w:pPr>
        <w:pStyle w:val="BodyText"/>
        <w:rPr>
          <w:sz w:val="26"/>
        </w:rPr>
      </w:pPr>
    </w:p>
    <w:p w:rsidR="00D0617C" w:rsidRDefault="00D0617C">
      <w:pPr>
        <w:pStyle w:val="BodyText"/>
        <w:spacing w:before="7"/>
        <w:rPr>
          <w:sz w:val="22"/>
        </w:rPr>
      </w:pPr>
    </w:p>
    <w:p w:rsidR="00D0617C" w:rsidRDefault="00DD3B94">
      <w:pPr>
        <w:pStyle w:val="Heading1"/>
        <w:numPr>
          <w:ilvl w:val="0"/>
          <w:numId w:val="1"/>
        </w:numPr>
        <w:tabs>
          <w:tab w:val="left" w:pos="551"/>
          <w:tab w:val="left" w:pos="552"/>
        </w:tabs>
        <w:ind w:left="552" w:hanging="440"/>
        <w:jc w:val="left"/>
      </w:pPr>
      <w:r>
        <w:t>Review and</w:t>
      </w:r>
      <w:r>
        <w:rPr>
          <w:spacing w:val="-1"/>
        </w:rPr>
        <w:t xml:space="preserve"> </w:t>
      </w:r>
      <w:r>
        <w:t>Amendment:</w:t>
      </w:r>
    </w:p>
    <w:p w:rsidR="00D0617C" w:rsidRDefault="0076493E" w:rsidP="0076493E">
      <w:pPr>
        <w:pStyle w:val="BodyText"/>
        <w:spacing w:before="2"/>
        <w:ind w:left="624" w:right="130"/>
        <w:jc w:val="both"/>
      </w:pPr>
      <w:r>
        <w:t>This familiarization structure for Independent Directors may be reviewed periodically as and when required. Further, the Board of Directors shall have the right to modify, amend or change any or all clauses of this Policy in accordance with the provisions of the Applicable laws/ Acts /Regulations or otherwise.</w:t>
      </w:r>
    </w:p>
    <w:p w:rsidR="0076493E" w:rsidRDefault="0076493E" w:rsidP="0076493E">
      <w:pPr>
        <w:pStyle w:val="BodyText"/>
        <w:spacing w:before="2"/>
        <w:ind w:left="624" w:right="130"/>
        <w:jc w:val="both"/>
      </w:pPr>
    </w:p>
    <w:p w:rsidR="0076493E" w:rsidRDefault="0076493E" w:rsidP="0076493E">
      <w:pPr>
        <w:pStyle w:val="BodyText"/>
        <w:spacing w:before="2"/>
        <w:ind w:left="624" w:right="130"/>
        <w:jc w:val="both"/>
      </w:pPr>
      <w:r>
        <w:t>In case of any amendment(s), clarification(s), circular(s) etc. issued under any Applicable laws/ Regulations, which is not consistent with any of the provisions of this familiarization structure, then such amendment(s), clarification(s), circular(s) etc. shall prevail upon the provisions hereunder and this familiarization structure shall be deemed to be amended accordingly from the effective date as laid down under such amendment(s), clarification(s), circular(s) etc and shall be placed before the board for its approval.</w:t>
      </w:r>
    </w:p>
    <w:p w:rsidR="0076493E" w:rsidRDefault="0076493E" w:rsidP="0076493E">
      <w:pPr>
        <w:pStyle w:val="BodyText"/>
        <w:spacing w:before="2"/>
        <w:ind w:left="624" w:right="130"/>
        <w:jc w:val="both"/>
      </w:pPr>
    </w:p>
    <w:p w:rsidR="0076493E" w:rsidRPr="0076493E" w:rsidRDefault="0076493E" w:rsidP="0076493E">
      <w:pPr>
        <w:pStyle w:val="BodyText"/>
        <w:spacing w:before="2"/>
        <w:ind w:left="624" w:right="130"/>
        <w:jc w:val="both"/>
      </w:pPr>
    </w:p>
    <w:p w:rsidR="00D0617C" w:rsidRPr="004513CE" w:rsidRDefault="00DD3B94" w:rsidP="009E7BFF">
      <w:pPr>
        <w:ind w:left="540"/>
        <w:rPr>
          <w:b/>
          <w:sz w:val="23"/>
        </w:rPr>
      </w:pPr>
      <w:r w:rsidRPr="004513CE">
        <w:rPr>
          <w:sz w:val="23"/>
        </w:rPr>
        <w:t xml:space="preserve">Effective Date: </w:t>
      </w:r>
      <w:r w:rsidR="0089521A">
        <w:rPr>
          <w:sz w:val="23"/>
        </w:rPr>
        <w:t>20.07.2024</w:t>
      </w:r>
    </w:p>
    <w:p w:rsidR="00D0617C" w:rsidRPr="004513CE" w:rsidRDefault="00D0617C" w:rsidP="009E7BFF">
      <w:pPr>
        <w:pStyle w:val="BodyText"/>
        <w:spacing w:before="9"/>
        <w:ind w:left="540"/>
        <w:rPr>
          <w:b/>
        </w:rPr>
      </w:pPr>
    </w:p>
    <w:p w:rsidR="00D0617C" w:rsidRPr="000B3EE8" w:rsidRDefault="00DD3B94" w:rsidP="009E7BFF">
      <w:pPr>
        <w:ind w:left="540"/>
        <w:rPr>
          <w:b/>
          <w:sz w:val="23"/>
          <w:highlight w:val="yellow"/>
        </w:rPr>
      </w:pPr>
      <w:r w:rsidRPr="004513CE">
        <w:rPr>
          <w:sz w:val="23"/>
        </w:rPr>
        <w:t>Date of the approval by the Board:</w:t>
      </w:r>
      <w:r w:rsidR="0089521A">
        <w:rPr>
          <w:sz w:val="23"/>
        </w:rPr>
        <w:t xml:space="preserve"> 20.07.2024</w:t>
      </w:r>
      <w:bookmarkStart w:id="0" w:name="_GoBack"/>
      <w:bookmarkEnd w:id="0"/>
      <w:r w:rsidRPr="004513CE">
        <w:rPr>
          <w:sz w:val="23"/>
        </w:rPr>
        <w:t xml:space="preserve"> </w:t>
      </w:r>
    </w:p>
    <w:p w:rsidR="00D0617C" w:rsidRPr="000B3EE8" w:rsidRDefault="00D0617C" w:rsidP="009E7BFF">
      <w:pPr>
        <w:pStyle w:val="BodyText"/>
        <w:spacing w:before="8"/>
        <w:ind w:left="540"/>
        <w:rPr>
          <w:b/>
          <w:highlight w:val="yellow"/>
        </w:rPr>
      </w:pPr>
    </w:p>
    <w:p w:rsidR="00D0617C" w:rsidRDefault="00D0617C" w:rsidP="009E7BFF">
      <w:pPr>
        <w:pStyle w:val="BodyText"/>
        <w:spacing w:before="1"/>
        <w:ind w:left="540"/>
        <w:rPr>
          <w:b/>
        </w:rPr>
      </w:pPr>
    </w:p>
    <w:p w:rsidR="00D0617C" w:rsidRDefault="00D0617C" w:rsidP="009E7BFF">
      <w:pPr>
        <w:pStyle w:val="BodyText"/>
        <w:ind w:left="540"/>
        <w:rPr>
          <w:b/>
          <w:sz w:val="26"/>
        </w:rPr>
      </w:pPr>
    </w:p>
    <w:p w:rsidR="00D0617C" w:rsidRDefault="00D0617C" w:rsidP="009E7BFF">
      <w:pPr>
        <w:pStyle w:val="BodyText"/>
        <w:ind w:left="540"/>
        <w:rPr>
          <w:b/>
          <w:sz w:val="26"/>
        </w:rPr>
      </w:pPr>
    </w:p>
    <w:p w:rsidR="00D0617C" w:rsidRDefault="00DD3B94" w:rsidP="009E7BFF">
      <w:pPr>
        <w:pStyle w:val="Heading1"/>
        <w:spacing w:before="217"/>
        <w:ind w:left="540" w:firstLine="0"/>
      </w:pPr>
      <w:r>
        <w:t>Sd/-</w:t>
      </w:r>
    </w:p>
    <w:p w:rsidR="00D0617C" w:rsidRDefault="00DD3B94" w:rsidP="009E7BFF">
      <w:pPr>
        <w:spacing w:before="4"/>
        <w:ind w:left="540"/>
        <w:rPr>
          <w:b/>
          <w:sz w:val="23"/>
        </w:rPr>
      </w:pPr>
      <w:r>
        <w:rPr>
          <w:b/>
          <w:sz w:val="23"/>
        </w:rPr>
        <w:t>Chairman’ Signature</w:t>
      </w:r>
    </w:p>
    <w:sectPr w:rsidR="00D0617C" w:rsidSect="00424A7B">
      <w:pgSz w:w="11910" w:h="16840"/>
      <w:pgMar w:top="1160" w:right="1160" w:bottom="280" w:left="12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D1CA7"/>
    <w:multiLevelType w:val="hybridMultilevel"/>
    <w:tmpl w:val="CDE8CC78"/>
    <w:lvl w:ilvl="0" w:tplc="B1BADC7C">
      <w:start w:val="1"/>
      <w:numFmt w:val="decimal"/>
      <w:lvlText w:val="%1."/>
      <w:lvlJc w:val="left"/>
      <w:pPr>
        <w:ind w:left="554" w:hanging="351"/>
        <w:jc w:val="right"/>
      </w:pPr>
      <w:rPr>
        <w:rFonts w:ascii="Calibri" w:eastAsia="Calibri" w:hAnsi="Calibri" w:cs="Calibri" w:hint="default"/>
        <w:b/>
        <w:bCs/>
        <w:w w:val="99"/>
        <w:sz w:val="22"/>
        <w:szCs w:val="22"/>
        <w:lang w:val="en-US" w:eastAsia="en-US" w:bidi="en-US"/>
      </w:rPr>
    </w:lvl>
    <w:lvl w:ilvl="1" w:tplc="322ADB6C">
      <w:start w:val="1"/>
      <w:numFmt w:val="lowerLetter"/>
      <w:lvlText w:val="%2)"/>
      <w:lvlJc w:val="left"/>
      <w:pPr>
        <w:ind w:left="1255" w:hanging="351"/>
        <w:jc w:val="left"/>
      </w:pPr>
      <w:rPr>
        <w:rFonts w:ascii="Calibri" w:eastAsia="Calibri" w:hAnsi="Calibri" w:cs="Calibri" w:hint="default"/>
        <w:spacing w:val="-3"/>
        <w:w w:val="99"/>
        <w:sz w:val="23"/>
        <w:szCs w:val="23"/>
        <w:lang w:val="en-US" w:eastAsia="en-US" w:bidi="en-US"/>
      </w:rPr>
    </w:lvl>
    <w:lvl w:ilvl="2" w:tplc="4B682446">
      <w:numFmt w:val="bullet"/>
      <w:lvlText w:val="•"/>
      <w:lvlJc w:val="left"/>
      <w:pPr>
        <w:ind w:left="2180" w:hanging="351"/>
      </w:pPr>
      <w:rPr>
        <w:rFonts w:hint="default"/>
        <w:lang w:val="en-US" w:eastAsia="en-US" w:bidi="en-US"/>
      </w:rPr>
    </w:lvl>
    <w:lvl w:ilvl="3" w:tplc="EA00C638">
      <w:numFmt w:val="bullet"/>
      <w:lvlText w:val="•"/>
      <w:lvlJc w:val="left"/>
      <w:pPr>
        <w:ind w:left="3101" w:hanging="351"/>
      </w:pPr>
      <w:rPr>
        <w:rFonts w:hint="default"/>
        <w:lang w:val="en-US" w:eastAsia="en-US" w:bidi="en-US"/>
      </w:rPr>
    </w:lvl>
    <w:lvl w:ilvl="4" w:tplc="F7A2C096">
      <w:numFmt w:val="bullet"/>
      <w:lvlText w:val="•"/>
      <w:lvlJc w:val="left"/>
      <w:pPr>
        <w:ind w:left="4022" w:hanging="351"/>
      </w:pPr>
      <w:rPr>
        <w:rFonts w:hint="default"/>
        <w:lang w:val="en-US" w:eastAsia="en-US" w:bidi="en-US"/>
      </w:rPr>
    </w:lvl>
    <w:lvl w:ilvl="5" w:tplc="B776D016">
      <w:numFmt w:val="bullet"/>
      <w:lvlText w:val="•"/>
      <w:lvlJc w:val="left"/>
      <w:pPr>
        <w:ind w:left="4942" w:hanging="351"/>
      </w:pPr>
      <w:rPr>
        <w:rFonts w:hint="default"/>
        <w:lang w:val="en-US" w:eastAsia="en-US" w:bidi="en-US"/>
      </w:rPr>
    </w:lvl>
    <w:lvl w:ilvl="6" w:tplc="657E1D7C">
      <w:numFmt w:val="bullet"/>
      <w:lvlText w:val="•"/>
      <w:lvlJc w:val="left"/>
      <w:pPr>
        <w:ind w:left="5863" w:hanging="351"/>
      </w:pPr>
      <w:rPr>
        <w:rFonts w:hint="default"/>
        <w:lang w:val="en-US" w:eastAsia="en-US" w:bidi="en-US"/>
      </w:rPr>
    </w:lvl>
    <w:lvl w:ilvl="7" w:tplc="9DC068CC">
      <w:numFmt w:val="bullet"/>
      <w:lvlText w:val="•"/>
      <w:lvlJc w:val="left"/>
      <w:pPr>
        <w:ind w:left="6784" w:hanging="351"/>
      </w:pPr>
      <w:rPr>
        <w:rFonts w:hint="default"/>
        <w:lang w:val="en-US" w:eastAsia="en-US" w:bidi="en-US"/>
      </w:rPr>
    </w:lvl>
    <w:lvl w:ilvl="8" w:tplc="CAB63F2A">
      <w:numFmt w:val="bullet"/>
      <w:lvlText w:val="•"/>
      <w:lvlJc w:val="left"/>
      <w:pPr>
        <w:ind w:left="7704" w:hanging="35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0617C"/>
    <w:rsid w:val="00014C46"/>
    <w:rsid w:val="0006576D"/>
    <w:rsid w:val="000B3EE8"/>
    <w:rsid w:val="002D1466"/>
    <w:rsid w:val="00424A7B"/>
    <w:rsid w:val="004513CE"/>
    <w:rsid w:val="00545044"/>
    <w:rsid w:val="00556B1D"/>
    <w:rsid w:val="005E4664"/>
    <w:rsid w:val="006F1AD2"/>
    <w:rsid w:val="0076493E"/>
    <w:rsid w:val="0084385E"/>
    <w:rsid w:val="008776B2"/>
    <w:rsid w:val="0089521A"/>
    <w:rsid w:val="0089675E"/>
    <w:rsid w:val="00975B5D"/>
    <w:rsid w:val="009E7BFF"/>
    <w:rsid w:val="00AF6EF8"/>
    <w:rsid w:val="00C3579B"/>
    <w:rsid w:val="00D0617C"/>
    <w:rsid w:val="00DD3B94"/>
    <w:rsid w:val="00E22D3F"/>
    <w:rsid w:val="00F3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0617C"/>
    <w:rPr>
      <w:rFonts w:ascii="Times New Roman" w:eastAsia="Times New Roman" w:hAnsi="Times New Roman" w:cs="Times New Roman"/>
      <w:lang w:bidi="en-US"/>
    </w:rPr>
  </w:style>
  <w:style w:type="paragraph" w:styleId="Heading1">
    <w:name w:val="heading 1"/>
    <w:basedOn w:val="Normal"/>
    <w:uiPriority w:val="1"/>
    <w:qFormat/>
    <w:rsid w:val="00D0617C"/>
    <w:pPr>
      <w:ind w:left="554" w:hanging="352"/>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0617C"/>
    <w:rPr>
      <w:sz w:val="23"/>
      <w:szCs w:val="23"/>
    </w:rPr>
  </w:style>
  <w:style w:type="paragraph" w:styleId="ListParagraph">
    <w:name w:val="List Paragraph"/>
    <w:basedOn w:val="Normal"/>
    <w:uiPriority w:val="1"/>
    <w:qFormat/>
    <w:rsid w:val="00D0617C"/>
    <w:pPr>
      <w:ind w:left="1255" w:hanging="351"/>
    </w:pPr>
  </w:style>
  <w:style w:type="paragraph" w:customStyle="1" w:styleId="TableParagraph">
    <w:name w:val="Table Paragraph"/>
    <w:basedOn w:val="Normal"/>
    <w:uiPriority w:val="1"/>
    <w:qFormat/>
    <w:rsid w:val="00D0617C"/>
  </w:style>
  <w:style w:type="paragraph" w:styleId="BalloonText">
    <w:name w:val="Balloon Text"/>
    <w:basedOn w:val="Normal"/>
    <w:link w:val="BalloonTextChar"/>
    <w:uiPriority w:val="99"/>
    <w:semiHidden/>
    <w:unhideWhenUsed/>
    <w:rsid w:val="00AF6EF8"/>
    <w:rPr>
      <w:rFonts w:ascii="Tahoma" w:hAnsi="Tahoma" w:cs="Tahoma"/>
      <w:sz w:val="16"/>
      <w:szCs w:val="16"/>
    </w:rPr>
  </w:style>
  <w:style w:type="character" w:customStyle="1" w:styleId="BalloonTextChar">
    <w:name w:val="Balloon Text Char"/>
    <w:basedOn w:val="DefaultParagraphFont"/>
    <w:link w:val="BalloonText"/>
    <w:uiPriority w:val="99"/>
    <w:semiHidden/>
    <w:rsid w:val="00AF6EF8"/>
    <w:rPr>
      <w:rFonts w:ascii="Tahoma" w:eastAsia="Times New Roman" w:hAnsi="Tahoma" w:cs="Tahoma"/>
      <w:sz w:val="16"/>
      <w:szCs w:val="16"/>
      <w:lang w:bidi="en-US"/>
    </w:rPr>
  </w:style>
  <w:style w:type="character" w:styleId="Hyperlink">
    <w:name w:val="Hyperlink"/>
    <w:basedOn w:val="DefaultParagraphFont"/>
    <w:uiPriority w:val="99"/>
    <w:unhideWhenUsed/>
    <w:rsid w:val="00AF6EF8"/>
    <w:rPr>
      <w:color w:val="0000FF" w:themeColor="hyperlink"/>
      <w:u w:val="single"/>
    </w:rPr>
  </w:style>
  <w:style w:type="paragraph" w:styleId="NoSpacing">
    <w:name w:val="No Spacing"/>
    <w:uiPriority w:val="1"/>
    <w:qFormat/>
    <w:rsid w:val="00AF6EF8"/>
    <w:pPr>
      <w:widowControl/>
      <w:autoSpaceDE/>
      <w:autoSpaceDN/>
    </w:pPr>
    <w:rPr>
      <w:rFonts w:eastAsiaTheme="minorEastAsia"/>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260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- 08-familiarization-programme</vt:lpstr>
    </vt:vector>
  </TitlesOfParts>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- 08-familiarization-programme</dc:title>
  <dc:creator>HG</dc:creator>
  <cp:lastModifiedBy>Suraj</cp:lastModifiedBy>
  <cp:revision>19</cp:revision>
  <dcterms:created xsi:type="dcterms:W3CDTF">2019-04-15T05:16:00Z</dcterms:created>
  <dcterms:modified xsi:type="dcterms:W3CDTF">2024-09-05T11:12:00Z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2019-04-15T00:00:00Z</vt:filetime>
  </property>
</Properties>
</file>